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120"/>
            </w:pPr>
            <w:r>
              <w:rPr>
                <w:rFonts w:ascii="Arial" w:cs="Arial" w:eastAsia="Arial" w:hAnsi="Arial"/>
                <w:b/>
                <w:bCs/>
                <w:color w:val="FFFFFF"/>
                <w:sz w:val="44"/>
                <w:szCs w:val="44"/>
              </w:rPr>
              <w:t xml:space="preserve">VirusTotal Enrichment Connector</w:t>
            </w:r>
          </w:p>
          <w:p>
            <w:pPr>
              <w:spacing w:after="120"/>
            </w:pPr>
            <w:r>
              <w:rPr>
                <w:rFonts w:ascii="Arial" w:cs="Arial" w:eastAsia="Arial" w:hAnsi="Arial"/>
                <w:color w:val="D6E4F0"/>
                <w:sz w:val="28"/>
                <w:szCs w:val="28"/>
              </w:rPr>
              <w:t xml:space="preserve">Scoping &amp; Design Document</w:t>
            </w:r>
          </w:p>
          <w:p>
            <w:pPr>
              <w:spacing w:after="0"/>
            </w:pPr>
            <w:r>
              <w:rPr>
                <w:rFonts w:ascii="Arial" w:cs="Arial" w:eastAsia="Arial" w:hAnsi="Arial"/>
                <w:color w:val="D6E4F0"/>
                <w:sz w:val="20"/>
                <w:szCs w:val="20"/>
              </w:rPr>
              <w:t xml:space="preserve">OpenCTI 6.9.13  |  Custom Connector  |  Internal Use Only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Document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Final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Connector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Custom (based on OpenCTI upstream)</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Platform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OpenCTI 6.9.13</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TLP:GREEN — Internal Use Only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Connector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INTERNAL_ENRICHMENT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Connector 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Case-Rfi</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Supported Observable Types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StixFile, Artifact, IPv4-Addr, Domain-Name, Hostname, Url</w:t>
            </w:r>
          </w:p>
        </w:tc>
      </w:tr>
    </w:tbl>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1. Purpose</w:t>
      </w:r>
    </w:p>
    <w:p>
      <w:pPr>
        <w:spacing w:after="160"/>
      </w:pPr>
      <w:r>
        <w:rPr>
          <w:rFonts w:ascii="Arial" w:cs="Arial" w:eastAsia="Arial" w:hAnsi="Arial"/>
          <w:color w:val="404040"/>
          <w:sz w:val="22"/>
          <w:szCs w:val="22"/>
        </w:rPr>
        <w:t xml:space="preserve">This document defines the functional scope, architectural decisions, and data model philosophy governing the custom VirusTotal internal enrichment connector deployed on the OpenCTI instance. It is the authoritative reference for analysts, administrators, and developers interacting with or maintaining the connector.</w:t>
      </w:r>
    </w:p>
    <w:p>
      <w:pPr>
        <w:spacing w:after="160"/>
      </w:pPr>
      <w:r>
        <w:rPr>
          <w:rFonts w:ascii="Arial" w:cs="Arial" w:eastAsia="Arial" w:hAnsi="Arial"/>
          <w:color w:val="404040"/>
          <w:sz w:val="22"/>
          <w:szCs w:val="22"/>
        </w:rPr>
        <w:t xml:space="preserve">The connector enriches observable entities within Case-Rfi (Request for Information) containers by querying the VirusTotal v3 API and persisting derived STIX 2.1 entities, relationships, indicators, and assessment notes into the OpenCTI knowledge graph. Enrichment is container-scoped and state-tracked — only observables added since the last run are processed on subsequent invocations.</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2. Trigger Model</w:t>
      </w:r>
    </w:p>
    <w:p>
      <w:pPr>
        <w:spacing w:after="160"/>
      </w:pPr>
      <w:r>
        <w:rPr>
          <w:rFonts w:ascii="Arial" w:cs="Arial" w:eastAsia="Arial" w:hAnsi="Arial"/>
          <w:color w:val="404040"/>
          <w:sz w:val="22"/>
          <w:szCs w:val="22"/>
        </w:rPr>
        <w:t xml:space="preserve">The connector scope is Case-Rfi. When an analyst triggers enrichment on an RFI container, the connector processes all SCOs within it rather than a single observable. This is a fundamental departure from the upstream per-observable trigger model.</w:t>
      </w:r>
    </w:p>
    <w:p>
      <w:pPr>
        <w:pStyle w:val="Heading3"/>
        <w:spacing w:before="200" w:after="100"/>
      </w:pPr>
      <w:r>
        <w:rPr>
          <w:rFonts w:ascii="Arial" w:cs="Arial" w:eastAsia="Arial" w:hAnsi="Arial"/>
          <w:b/>
          <w:bCs/>
          <w:color w:val="2E75B6"/>
          <w:sz w:val="24"/>
          <w:szCs w:val="24"/>
        </w:rPr>
        <w:t xml:space="preserve">Processing Sequence</w:t>
      </w:r>
    </w:p>
    <w:p>
      <w:pPr>
        <w:pStyle w:val="ListParagraph"/>
        <w:numPr>
          <w:ilvl w:val="0"/>
          <w:numId w:val="2"/>
        </w:numPr>
        <w:spacing w:after="100"/>
      </w:pPr>
      <w:r>
        <w:rPr>
          <w:rFonts w:ascii="Arial" w:cs="Arial" w:eastAsia="Arial" w:hAnsi="Arial"/>
          <w:b w:val="false"/>
          <w:bCs w:val="false"/>
          <w:color w:val="404040"/>
          <w:sz w:val="22"/>
          <w:szCs w:val="22"/>
        </w:rPr>
        <w:t xml:space="preserve">Read the last-run timestamp for the triggering RFI container from the state file.</w:t>
      </w:r>
    </w:p>
    <w:p>
      <w:pPr>
        <w:pStyle w:val="ListParagraph"/>
        <w:numPr>
          <w:ilvl w:val="0"/>
          <w:numId w:val="2"/>
        </w:numPr>
        <w:spacing w:after="100"/>
      </w:pPr>
      <w:r>
        <w:rPr>
          <w:rFonts w:ascii="Arial" w:cs="Arial" w:eastAsia="Arial" w:hAnsi="Arial"/>
          <w:b w:val="false"/>
          <w:bCs w:val="false"/>
          <w:color w:val="404040"/>
          <w:sz w:val="22"/>
          <w:szCs w:val="22"/>
        </w:rPr>
        <w:t xml:space="preserve">Query all SCOs in the container. Filter to supported types and those added after the last-run timestamp.</w:t>
      </w:r>
    </w:p>
    <w:p>
      <w:pPr>
        <w:pStyle w:val="ListParagraph"/>
        <w:numPr>
          <w:ilvl w:val="0"/>
          <w:numId w:val="2"/>
        </w:numPr>
        <w:spacing w:after="100"/>
      </w:pPr>
      <w:r>
        <w:rPr>
          <w:rFonts w:ascii="Arial" w:cs="Arial" w:eastAsia="Arial" w:hAnsi="Arial"/>
          <w:b w:val="false"/>
          <w:bCs w:val="false"/>
          <w:color w:val="404040"/>
          <w:sz w:val="22"/>
          <w:szCs w:val="22"/>
        </w:rPr>
        <w:t xml:space="preserve">For each qualifying observable: check TLP, call the appropriate VT processor, apply rate-limiting delay.</w:t>
      </w:r>
    </w:p>
    <w:p>
      <w:pPr>
        <w:pStyle w:val="ListParagraph"/>
        <w:numPr>
          <w:ilvl w:val="0"/>
          <w:numId w:val="2"/>
        </w:numPr>
        <w:spacing w:after="100"/>
      </w:pPr>
      <w:r>
        <w:rPr>
          <w:rFonts w:ascii="Arial" w:cs="Arial" w:eastAsia="Arial" w:hAnsi="Arial"/>
          <w:b w:val="false"/>
          <w:bCs w:val="false"/>
          <w:color w:val="404040"/>
          <w:sz w:val="22"/>
          <w:szCs w:val="22"/>
        </w:rPr>
        <w:t xml:space="preserve">Write the current timestamp to the state file after full iteration completes.</w:t>
      </w:r>
    </w:p>
    <w:p>
      <w:pPr>
        <w:pStyle w:val="ListParagraph"/>
        <w:numPr>
          <w:ilvl w:val="0"/>
          <w:numId w:val="2"/>
        </w:numPr>
        <w:spacing w:after="100"/>
      </w:pPr>
      <w:r>
        <w:rPr>
          <w:rFonts w:ascii="Arial" w:cs="Arial" w:eastAsia="Arial" w:hAnsi="Arial"/>
          <w:b w:val="false"/>
          <w:bCs w:val="false"/>
          <w:color w:val="404040"/>
          <w:sz w:val="22"/>
          <w:szCs w:val="22"/>
        </w:rPr>
        <w:t xml:space="preserve">All derived objects are scoped into the originating RFI container.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2F2F2" w:val="clear"/>
            <w:tcMar>
              <w:top w:type="dxa" w:w="100"/>
              <w:left w:type="dxa" w:w="160"/>
              <w:bottom w:type="dxa" w:w="100"/>
              <w:right w:type="dxa" w:w="160"/>
            </w:tcMar>
          </w:tcPr>
          <w:p>
            <w:pPr>
              <w:spacing w:after="60"/>
            </w:pPr>
            <w:r>
              <w:rPr>
                <w:rFonts w:ascii="Arial" w:cs="Arial" w:eastAsia="Arial" w:hAnsi="Arial"/>
                <w:b/>
                <w:bCs/>
                <w:color w:val="C55A11"/>
                <w:sz w:val="20"/>
                <w:szCs w:val="20"/>
              </w:rPr>
              <w:t xml:space="preserve">Design Decision: </w:t>
            </w:r>
            <w:r>
              <w:rPr>
                <w:rFonts w:ascii="Arial" w:cs="Arial" w:eastAsia="Arial" w:hAnsi="Arial"/>
                <w:color w:val="404040"/>
                <w:sz w:val="20"/>
                <w:szCs w:val="20"/>
              </w:rPr>
              <w:t xml:space="preserve">The upstream connector triggered on individual observables, requiring analysts to enrich each one separately. The container-level trigger allows an analyst to enrich an entire investigation in a single action. The state file ensures subsequent triggers only process new additions, preventing redundant re-enrichment of already-processed observables.</w:t>
            </w:r>
          </w:p>
        </w:tc>
      </w:tr>
    </w:tbl>
    <w:p>
      <w:pPr>
        <w:spacing w:after="120"/>
      </w:pPr>
      <w:r>
        <w:t xml:space="preserve"/>
      </w:r>
    </w:p>
    <w:p>
      <w:pPr>
        <w:pStyle w:val="Heading3"/>
        <w:spacing w:before="200" w:after="100"/>
      </w:pPr>
      <w:r>
        <w:rPr>
          <w:rFonts w:ascii="Arial" w:cs="Arial" w:eastAsia="Arial" w:hAnsi="Arial"/>
          <w:b/>
          <w:bCs/>
          <w:color w:val="2E75B6"/>
          <w:sz w:val="24"/>
          <w:szCs w:val="24"/>
        </w:rPr>
        <w:t xml:space="preserve">First Run Behaviour</w:t>
      </w:r>
    </w:p>
    <w:p>
      <w:pPr>
        <w:spacing w:after="160"/>
      </w:pPr>
      <w:r>
        <w:rPr>
          <w:rFonts w:ascii="Arial" w:cs="Arial" w:eastAsia="Arial" w:hAnsi="Arial"/>
          <w:color w:val="404040"/>
          <w:sz w:val="22"/>
          <w:szCs w:val="22"/>
        </w:rPr>
        <w:t xml:space="preserve">On first run against an RFI (no state file entry for that container ID), all existing observables in the container are processed regardless of when they were added. This ensures no observables are silently skipped when the connector is first deployed against an RFI that already contains data.</w:t>
      </w:r>
    </w:p>
    <w:p>
      <w:pPr>
        <w:pStyle w:val="Heading3"/>
        <w:spacing w:before="200" w:after="100"/>
      </w:pPr>
      <w:r>
        <w:rPr>
          <w:rFonts w:ascii="Arial" w:cs="Arial" w:eastAsia="Arial" w:hAnsi="Arial"/>
          <w:b/>
          <w:bCs/>
          <w:color w:val="2E75B6"/>
          <w:sz w:val="24"/>
          <w:szCs w:val="24"/>
        </w:rPr>
        <w:t xml:space="preserve">SDO Handling</w:t>
      </w:r>
    </w:p>
    <w:p>
      <w:pPr>
        <w:spacing w:after="160"/>
      </w:pPr>
      <w:r>
        <w:rPr>
          <w:rFonts w:ascii="Arial" w:cs="Arial" w:eastAsia="Arial" w:hAnsi="Arial"/>
          <w:color w:val="404040"/>
          <w:sz w:val="22"/>
          <w:szCs w:val="22"/>
        </w:rPr>
        <w:t xml:space="preserve">Only STIX Cyber Observables (SCOs) matching the supported types are processed. SDOs (Malware, ThreatActor, Intrusion Set, etc.) present in the container are silently skipped. The supported SCO types are: StixFile, Artifact, IPv4-Addr, Domain-Name, Hostname, Url.</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3. State Management</w:t>
      </w:r>
    </w:p>
    <w:p>
      <w:pPr>
        <w:spacing w:after="160"/>
      </w:pPr>
      <w:r>
        <w:rPr>
          <w:rFonts w:ascii="Arial" w:cs="Arial" w:eastAsia="Arial" w:hAnsi="Arial"/>
          <w:color w:val="404040"/>
          <w:sz w:val="22"/>
          <w:szCs w:val="22"/>
        </w:rPr>
        <w:t xml:space="preserve">A JSON file maps each RFI container ID to the ISO timestamp of its last enrichment run. The file is read at the start of each job and written atomically after full iteration completes.</w:t>
      </w:r>
    </w:p>
    <w:p>
      <w:pPr>
        <w:pStyle w:val="Heading3"/>
        <w:spacing w:before="200" w:after="100"/>
      </w:pPr>
      <w:r>
        <w:rPr>
          <w:rFonts w:ascii="Arial" w:cs="Arial" w:eastAsia="Arial" w:hAnsi="Arial"/>
          <w:b/>
          <w:bCs/>
          <w:color w:val="2E75B6"/>
          <w:sz w:val="24"/>
          <w:szCs w:val="24"/>
        </w:rPr>
        <w:t xml:space="preserve">State File Format</w:t>
      </w:r>
    </w:p>
    <w:p>
      <w:pPr>
        <w:spacing w:after="160"/>
      </w:pPr>
      <w:r>
        <w:rPr>
          <w:rFonts w:ascii="Arial" w:cs="Arial" w:eastAsia="Arial" w:hAnsi="Arial"/>
          <w:color w:val="404040"/>
          <w:sz w:val="22"/>
          <w:szCs w:val="22"/>
        </w:rPr>
        <w:t xml:space="preserve">The state file is a flat JSON object keyed by OpenCTI RFI container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Courier New" w:cs="Courier New" w:eastAsia="Courier New" w:hAnsi="Courier New"/>
                <w:color w:val="404040"/>
                <w:sz w:val="18"/>
                <w:szCs w:val="18"/>
              </w:rPr>
              <w:t xml:space="preserve">{ "8b29dbfc-...": "2026-03-24T10:20:59.526336", "other-rfi-id": "2026-03-23T14:30:00.000000" }</w:t>
            </w:r>
          </w:p>
        </w:tc>
      </w:tr>
    </w:tbl>
    <w:p>
      <w:pPr>
        <w:spacing w:after="120"/>
      </w:pPr>
      <w:r>
        <w:t xml:space="preserve"/>
      </w:r>
    </w:p>
    <w:p>
      <w:pPr>
        <w:pStyle w:val="Heading3"/>
        <w:spacing w:before="200" w:after="100"/>
      </w:pPr>
      <w:r>
        <w:rPr>
          <w:rFonts w:ascii="Arial" w:cs="Arial" w:eastAsia="Arial" w:hAnsi="Arial"/>
          <w:b/>
          <w:bCs/>
          <w:color w:val="2E75B6"/>
          <w:sz w:val="24"/>
          <w:szCs w:val="24"/>
        </w:rPr>
        <w:t xml:space="preserve">Atomic Write</w:t>
      </w:r>
    </w:p>
    <w:p>
      <w:pPr>
        <w:spacing w:after="160"/>
      </w:pPr>
      <w:r>
        <w:rPr>
          <w:rFonts w:ascii="Arial" w:cs="Arial" w:eastAsia="Arial" w:hAnsi="Arial"/>
          <w:color w:val="404040"/>
          <w:sz w:val="22"/>
          <w:szCs w:val="22"/>
        </w:rPr>
        <w:t xml:space="preserve">State is written to a temporary file alongside the state file and then renamed into place. This prevents state file corruption if the connector process is killed mid-write. A connector killed during enrichment iteration will reprocess from the previous timestamp on next invocation — no observables are permanently skipped.</w:t>
      </w:r>
    </w:p>
    <w:p>
      <w:pPr>
        <w:pStyle w:val="Heading3"/>
        <w:spacing w:before="200" w:after="100"/>
      </w:pPr>
      <w:r>
        <w:rPr>
          <w:rFonts w:ascii="Arial" w:cs="Arial" w:eastAsia="Arial" w:hAnsi="Arial"/>
          <w:b/>
          <w:bCs/>
          <w:color w:val="2E75B6"/>
          <w:sz w:val="24"/>
          <w:szCs w:val="24"/>
        </w:rPr>
        <w:t xml:space="preserve">Volume Mount Requirement</w:t>
      </w:r>
    </w:p>
    <w:p>
      <w:pPr>
        <w:spacing w:after="160"/>
      </w:pPr>
      <w:r>
        <w:rPr>
          <w:rFonts w:ascii="Arial" w:cs="Arial" w:eastAsia="Arial" w:hAnsi="Arial"/>
          <w:color w:val="404040"/>
          <w:sz w:val="22"/>
          <w:szCs w:val="22"/>
        </w:rPr>
        <w:t xml:space="preserve">The state file must be mounted from a host directory via a Docker volume. Without this, the state file is lost on every container restart and all observables are re-enriched on every run. The mount path must match VIRUSTOTAL_STATE_PATH.</w:t>
      </w:r>
    </w:p>
    <w:p>
      <w:pPr>
        <w:pStyle w:val="Heading3"/>
        <w:spacing w:before="200" w:after="100"/>
      </w:pPr>
      <w:r>
        <w:rPr>
          <w:rFonts w:ascii="Arial" w:cs="Arial" w:eastAsia="Arial" w:hAnsi="Arial"/>
          <w:b/>
          <w:bCs/>
          <w:color w:val="2E75B6"/>
          <w:sz w:val="24"/>
          <w:szCs w:val="24"/>
        </w:rPr>
        <w:t xml:space="preserve">State Reset</w:t>
      </w:r>
    </w:p>
    <w:p>
      <w:pPr>
        <w:spacing w:after="160"/>
      </w:pPr>
      <w:r>
        <w:rPr>
          <w:rFonts w:ascii="Arial" w:cs="Arial" w:eastAsia="Arial" w:hAnsi="Arial"/>
          <w:color w:val="404040"/>
          <w:sz w:val="22"/>
          <w:szCs w:val="22"/>
        </w:rPr>
        <w:t xml:space="preserve">To force re-enrichment of all observables in a specific RFI, delete its entry from the state file JSON. To reset all containers, delete the state file entirely. The connector will treat the next run as a first run and process everything.</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4. TLP Policy</w:t>
      </w:r>
    </w:p>
    <w:p>
      <w:pPr>
        <w:pStyle w:val="Heading3"/>
        <w:spacing w:before="200" w:after="100"/>
      </w:pPr>
      <w:r>
        <w:rPr>
          <w:rFonts w:ascii="Arial" w:cs="Arial" w:eastAsia="Arial" w:hAnsi="Arial"/>
          <w:b/>
          <w:bCs/>
          <w:color w:val="2E75B6"/>
          <w:sz w:val="24"/>
          <w:szCs w:val="24"/>
        </w:rPr>
        <w:t xml:space="preserve">Per-Observable Input Filtering</w:t>
      </w:r>
    </w:p>
    <w:p>
      <w:pPr>
        <w:spacing w:after="160"/>
      </w:pPr>
      <w:r>
        <w:rPr>
          <w:rFonts w:ascii="Arial" w:cs="Arial" w:eastAsia="Arial" w:hAnsi="Arial"/>
          <w:color w:val="404040"/>
          <w:sz w:val="22"/>
          <w:szCs w:val="22"/>
        </w:rPr>
        <w:t xml:space="preserve">TLP is checked per observable during container iteration. Observables marked TLP:RED are skipped individually — they do not abort the container run. All other standard TLP levels (TLP:CLEAR, TLP:GREEN, TLP:AMBER, TLP:AMBER+STRICT) are submitted to the VT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2F2F2" w:val="clear"/>
            <w:tcMar>
              <w:top w:type="dxa" w:w="100"/>
              <w:left w:type="dxa" w:w="160"/>
              <w:bottom w:type="dxa" w:w="100"/>
              <w:right w:type="dxa" w:w="160"/>
            </w:tcMar>
          </w:tcPr>
          <w:p>
            <w:pPr>
              <w:spacing w:after="60"/>
            </w:pPr>
            <w:r>
              <w:rPr>
                <w:rFonts w:ascii="Arial" w:cs="Arial" w:eastAsia="Arial" w:hAnsi="Arial"/>
                <w:b/>
                <w:bCs/>
                <w:color w:val="C55A11"/>
                <w:sz w:val="20"/>
                <w:szCs w:val="20"/>
              </w:rPr>
              <w:t xml:space="preserve">Design Decision: </w:t>
            </w:r>
            <w:r>
              <w:rPr>
                <w:rFonts w:ascii="Arial" w:cs="Arial" w:eastAsia="Arial" w:hAnsi="Arial"/>
                <w:color w:val="404040"/>
                <w:sz w:val="20"/>
                <w:szCs w:val="20"/>
              </w:rPr>
              <w:t xml:space="preserve">The previous implementation used a single configurable VIRUSTOTAL_MAX_TLP ceiling applied to the entire job. The container-scope model requires per-observable checking since a single container may hold observables with different TLP markings. VIRUSTOTAL_MAX_TLP has been removed as a configuration variable — the permitted set is hardcoded.</w:t>
            </w:r>
          </w:p>
        </w:tc>
      </w:tr>
    </w:tbl>
    <w:p>
      <w:pPr>
        <w:spacing w:after="120"/>
      </w:pPr>
      <w:r>
        <w:t xml:space="preserve"/>
      </w:r>
    </w:p>
    <w:p>
      <w:pPr>
        <w:pStyle w:val="Heading3"/>
        <w:spacing w:before="200" w:after="100"/>
      </w:pPr>
      <w:r>
        <w:rPr>
          <w:rFonts w:ascii="Arial" w:cs="Arial" w:eastAsia="Arial" w:hAnsi="Arial"/>
          <w:b/>
          <w:bCs/>
          <w:color w:val="2E75B6"/>
          <w:sz w:val="24"/>
          <w:szCs w:val="24"/>
        </w:rPr>
        <w:t xml:space="preserve">Output Marking</w:t>
      </w:r>
    </w:p>
    <w:p>
      <w:pPr>
        <w:spacing w:after="160"/>
      </w:pPr>
      <w:r>
        <w:rPr>
          <w:rFonts w:ascii="Arial" w:cs="Arial" w:eastAsia="Arial" w:hAnsi="Arial"/>
          <w:color w:val="404040"/>
          <w:sz w:val="22"/>
          <w:szCs w:val="22"/>
        </w:rPr>
        <w:t xml:space="preserve">All objects created by the connector carry TLP:GREEN object_marking_refs, resolved from the instance at startup. This reflects the nature of VT enrichment output: derived from a public threat intelligence service, sharable within the intelligence community, but not unrestricted. Output marking is applied uniformly regardless of the parent observable's TLP.</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5. Rate Limiting</w:t>
      </w:r>
    </w:p>
    <w:p>
      <w:pPr>
        <w:spacing w:after="160"/>
      </w:pPr>
      <w:r>
        <w:rPr>
          <w:rFonts w:ascii="Arial" w:cs="Arial" w:eastAsia="Arial" w:hAnsi="Arial"/>
          <w:color w:val="404040"/>
          <w:sz w:val="22"/>
          <w:szCs w:val="22"/>
        </w:rPr>
        <w:t xml:space="preserve">A configurable delay is applied between each VT API call within a container run. The delay is applied after each observable regardless of success or failure, so error cases do not cause a burst of requests on subsequent observables.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VIRUSTOTAL_REQUEST_DELAY_SECONDS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Default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15 seconds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Free Tier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15 seconds (safe for 4 req/min limit)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Premium Tier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second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Application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Applied between each VT API call, after the last observable</w:t>
            </w:r>
          </w:p>
        </w:tc>
      </w:tr>
    </w:tbl>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6. Error Isolation</w:t>
      </w:r>
    </w:p>
    <w:p>
      <w:pPr>
        <w:spacing w:after="160"/>
      </w:pPr>
      <w:r>
        <w:rPr>
          <w:rFonts w:ascii="Arial" w:cs="Arial" w:eastAsia="Arial" w:hAnsi="Arial"/>
          <w:color w:val="404040"/>
          <w:sz w:val="22"/>
          <w:szCs w:val="22"/>
        </w:rPr>
        <w:t xml:space="preserve">Failures on individual observables are caught and logged as warnings. The container run continues for all remaining observables. The state file timestamp is only updated after the full iteration completes, not after individual observable errors.</w:t>
      </w:r>
    </w:p>
    <w:p>
      <w:pPr>
        <w:spacing w:after="160"/>
      </w:pPr>
      <w:r>
        <w:rPr>
          <w:rFonts w:ascii="Arial" w:cs="Arial" w:eastAsia="Arial" w:hAnsi="Arial"/>
          <w:color w:val="404040"/>
          <w:sz w:val="22"/>
          <w:szCs w:val="22"/>
        </w:rPr>
        <w:t xml:space="preserve">The final run summary reports: observables enriched, observables skipped due to TLP, and observables skipped due to error. This gives the analyst a clear picture of what was and was not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2F2F2" w:val="clear"/>
            <w:tcMar>
              <w:top w:type="dxa" w:w="100"/>
              <w:left w:type="dxa" w:w="160"/>
              <w:bottom w:type="dxa" w:w="100"/>
              <w:right w:type="dxa" w:w="160"/>
            </w:tcMar>
          </w:tcPr>
          <w:p>
            <w:pPr>
              <w:spacing w:after="60"/>
            </w:pPr>
            <w:r>
              <w:rPr>
                <w:rFonts w:ascii="Arial" w:cs="Arial" w:eastAsia="Arial" w:hAnsi="Arial"/>
                <w:b/>
                <w:bCs/>
                <w:color w:val="C55A11"/>
                <w:sz w:val="20"/>
                <w:szCs w:val="20"/>
              </w:rPr>
              <w:t xml:space="preserve">Design Decision: </w:t>
            </w:r>
            <w:r>
              <w:rPr>
                <w:rFonts w:ascii="Arial" w:cs="Arial" w:eastAsia="Arial" w:hAnsi="Arial"/>
                <w:color w:val="404040"/>
                <w:sz w:val="20"/>
                <w:szCs w:val="20"/>
              </w:rPr>
              <w:t xml:space="preserve">A single observable failure (e.g. VT API timeout, malformed response, score computation error) should not block enrichment of the remaining 17 observables in the container. Error isolation is essential for production reliability in a container-level trigger model.</w:t>
            </w:r>
          </w:p>
        </w:tc>
      </w:tr>
    </w:tbl>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7. Indicator Policy</w:t>
      </w:r>
    </w:p>
    <w:p>
      <w:pPr>
        <w:spacing w:after="160"/>
      </w:pPr>
      <w:r>
        <w:rPr>
          <w:rFonts w:ascii="Arial" w:cs="Arial" w:eastAsia="Arial" w:hAnsi="Arial"/>
          <w:color w:val="404040"/>
          <w:sz w:val="22"/>
          <w:szCs w:val="22"/>
        </w:rPr>
        <w:t xml:space="preserve">The connector creates Indicators exclusively for YARA rules returned by VT's crowdsourced YARA analysis. No other Indicator type is created.</w:t>
      </w:r>
    </w:p>
    <w:p>
      <w:pPr>
        <w:spacing w:after="160"/>
      </w:pPr>
      <w:r>
        <w:rPr>
          <w:rFonts w:ascii="Arial" w:cs="Arial" w:eastAsia="Arial" w:hAnsi="Arial"/>
          <w:color w:val="404040"/>
          <w:sz w:val="22"/>
          <w:szCs w:val="22"/>
        </w:rPr>
        <w:t xml:space="preserve">Threshold-based Indicator creation (upstream behavior) has been removed. Indicators are OpenCTI inference-engine output — creating them from a detection count threshold bypasses the data model and produces unmanaged detection artifacts with no link to the platform's detection pipeline.</w:t>
      </w:r>
    </w:p>
    <w:p>
      <w:pPr>
        <w:spacing w:after="160"/>
      </w:pPr>
      <w:r>
        <w:rPr>
          <w:rFonts w:ascii="Arial" w:cs="Arial" w:eastAsia="Arial" w:hAnsi="Arial"/>
          <w:color w:val="404040"/>
          <w:sz w:val="22"/>
          <w:szCs w:val="22"/>
        </w:rPr>
        <w:t xml:space="preserve">YARA rules are retained because they are genuine STIX Indicators: they carry a machine-readable YARA pattern, a valid_from timestamp, and full ruleset metadata authored by named security researchers.</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8. Tag-to-Entity Conversion</w:t>
      </w:r>
    </w:p>
    <w:p>
      <w:pPr>
        <w:spacing w:after="160"/>
      </w:pPr>
      <w:r>
        <w:rPr>
          <w:rFonts w:ascii="Arial" w:cs="Arial" w:eastAsia="Arial" w:hAnsi="Arial"/>
          <w:color w:val="404040"/>
          <w:sz w:val="22"/>
          <w:szCs w:val="22"/>
        </w:rPr>
        <w:t xml:space="preserve">VT's tags array for file observables is classified and converted to typed STIX entities rather than being written as string labels on the observable.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Tag Pattern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CVE-YYYY-NNNNN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Vulnerability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CVE-2021-44228 → Vulnerability with NVD external ref</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TNNNN or TNNNN.NNN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AttackPattern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T1059.003 → AttackPattern with MITRE ATT&amp;CK ref</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Known generic / behavioral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Drop (note only)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pedll, long-sleeps, detect-debug-environment, windows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All other strings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Malware (family)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Emotet, RedLine → Malware (is_family=True)</w:t>
            </w:r>
          </w:p>
        </w:tc>
      </w:tr>
    </w:tbl>
    <w:p>
      <w:pPr>
        <w:spacing w:after="120"/>
      </w:pPr>
      <w:r>
        <w:t xml:space="preserve"/>
      </w:r>
    </w:p>
    <w:p>
      <w:pPr>
        <w:spacing w:after="160"/>
      </w:pPr>
      <w:r>
        <w:rPr>
          <w:rFonts w:ascii="Arial" w:cs="Arial" w:eastAsia="Arial" w:hAnsi="Arial"/>
          <w:color w:val="404040"/>
          <w:sz w:val="22"/>
          <w:szCs w:val="22"/>
        </w:rPr>
        <w:t xml:space="preserve">Generic tags include: platform/architecture descriptors (windows, linux, 64bits), file format tags (peexe, rar, pdf), generic malware class nouns (trojan, ransomware, worm), and VT behavioral analysis vocabulary (long-sleeps, detect-debug-environment, detect-virtual-machine, anti-sandbox). All dropped tag text is preserved verbatim in the assessment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2F2F2" w:val="clear"/>
            <w:tcMar>
              <w:top w:type="dxa" w:w="100"/>
              <w:left w:type="dxa" w:w="160"/>
              <w:bottom w:type="dxa" w:w="100"/>
              <w:right w:type="dxa" w:w="160"/>
            </w:tcMar>
          </w:tcPr>
          <w:p>
            <w:pPr>
              <w:spacing w:after="60"/>
            </w:pPr>
            <w:r>
              <w:rPr>
                <w:rFonts w:ascii="Arial" w:cs="Arial" w:eastAsia="Arial" w:hAnsi="Arial"/>
                <w:b/>
                <w:bCs/>
                <w:color w:val="C55A11"/>
                <w:sz w:val="20"/>
                <w:szCs w:val="20"/>
              </w:rPr>
              <w:t xml:space="preserve">Design Decision: </w:t>
            </w:r>
            <w:r>
              <w:rPr>
                <w:rFonts w:ascii="Arial" w:cs="Arial" w:eastAsia="Arial" w:hAnsi="Arial"/>
                <w:color w:val="404040"/>
                <w:sz w:val="20"/>
                <w:szCs w:val="20"/>
              </w:rPr>
              <w:t xml:space="preserve">Generic malware class nouns are dropped. A Malware entity named 'Trojan' is not analytically meaningful — it describes the observable type, not a named threat family. Only specific named families with investigative value (Emotet, Cobalt Strike, RedLine) are created as Malware entities.</w:t>
            </w:r>
          </w:p>
        </w:tc>
      </w:tr>
    </w:tbl>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9. Assessment Notes</w:t>
      </w:r>
    </w:p>
    <w:p>
      <w:pPr>
        <w:spacing w:after="160"/>
      </w:pPr>
      <w:r>
        <w:rPr>
          <w:rFonts w:ascii="Arial" w:cs="Arial" w:eastAsia="Arial" w:hAnsi="Arial"/>
          <w:color w:val="404040"/>
          <w:sz w:val="22"/>
          <w:szCs w:val="22"/>
        </w:rPr>
        <w:t xml:space="preserve">Every enrichment job produces a structured assessment Note linked directly to the enriched observable. Notes are created with note_types=[assessment] and are scoped to the originating RFI container.</w:t>
      </w:r>
    </w:p>
    <w:p>
      <w:pPr>
        <w:pStyle w:val="Heading3"/>
        <w:spacing w:before="200" w:after="100"/>
      </w:pPr>
      <w:r>
        <w:rPr>
          <w:rFonts w:ascii="Arial" w:cs="Arial" w:eastAsia="Arial" w:hAnsi="Arial"/>
          <w:b/>
          <w:bCs/>
          <w:color w:val="2E75B6"/>
          <w:sz w:val="24"/>
          <w:szCs w:val="24"/>
        </w:rPr>
        <w:t xml:space="preserve">Observable Summary Header</w:t>
      </w:r>
    </w:p>
    <w:p>
      <w:pPr>
        <w:spacing w:after="160"/>
      </w:pPr>
      <w:r>
        <w:rPr>
          <w:rFonts w:ascii="Arial" w:cs="Arial" w:eastAsia="Arial" w:hAnsi="Arial"/>
          <w:color w:val="404040"/>
          <w:sz w:val="22"/>
          <w:szCs w:val="22"/>
        </w:rPr>
        <w:t xml:space="preserve">All notes include a header block with full observable context from OpenCTI: hashes (for files), file name and additional names, size, MIME type, magic number, original author, and ingestion date. This makes each note self-contained — an analyst reading it does not need to navigate to the entity page.</w:t>
      </w:r>
    </w:p>
    <w:p>
      <w:pPr>
        <w:pStyle w:val="Heading3"/>
        <w:spacing w:before="200" w:after="100"/>
      </w:pPr>
      <w:r>
        <w:rPr>
          <w:rFonts w:ascii="Arial" w:cs="Arial" w:eastAsia="Arial" w:hAnsi="Arial"/>
          <w:b/>
          <w:bCs/>
          <w:color w:val="2E75B6"/>
          <w:sz w:val="24"/>
          <w:szCs w:val="24"/>
        </w:rPr>
        <w:t xml:space="preserve">Not-Found Handling</w:t>
      </w:r>
    </w:p>
    <w:p>
      <w:pPr>
        <w:spacing w:after="160"/>
      </w:pPr>
      <w:r>
        <w:rPr>
          <w:rFonts w:ascii="Arial" w:cs="Arial" w:eastAsia="Arial" w:hAnsi="Arial"/>
          <w:color w:val="404040"/>
          <w:sz w:val="22"/>
          <w:szCs w:val="22"/>
        </w:rPr>
        <w:t xml:space="preserve">When VT returns a 404 NotFoundError, a 'VirusTotal — No Record Found' assessment note is created rather than failing the job. The note includes the observable summary, the lookup timestamp, and analyst guidance on interpreting the absence of a VT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2F2F2" w:val="clear"/>
            <w:tcMar>
              <w:top w:type="dxa" w:w="100"/>
              <w:left w:type="dxa" w:w="160"/>
              <w:bottom w:type="dxa" w:w="100"/>
              <w:right w:type="dxa" w:w="160"/>
            </w:tcMar>
          </w:tcPr>
          <w:p>
            <w:pPr>
              <w:spacing w:after="60"/>
            </w:pPr>
            <w:r>
              <w:rPr>
                <w:rFonts w:ascii="Arial" w:cs="Arial" w:eastAsia="Arial" w:hAnsi="Arial"/>
                <w:b/>
                <w:bCs/>
                <w:color w:val="C55A11"/>
                <w:sz w:val="20"/>
                <w:szCs w:val="20"/>
              </w:rPr>
              <w:t xml:space="preserve">Design Decision: </w:t>
            </w:r>
            <w:r>
              <w:rPr>
                <w:rFonts w:ascii="Arial" w:cs="Arial" w:eastAsia="Arial" w:hAnsi="Arial"/>
                <w:color w:val="404040"/>
                <w:sz w:val="20"/>
                <w:szCs w:val="20"/>
              </w:rPr>
              <w:t xml:space="preserve">A VT 404 is intelligence. It indicates the observable has never been submitted to VT's multi-engine platform — potentially significant for novel malware, targeted tooling, or internally-developed software. Silently failing the job discards this signal.</w:t>
            </w:r>
          </w:p>
        </w:tc>
      </w:tr>
    </w:tbl>
    <w:p>
      <w:pPr>
        <w:spacing w:after="120"/>
      </w:pPr>
      <w:r>
        <w:t xml:space="preserve"/>
      </w:r>
    </w:p>
    <w:p>
      <w:pPr>
        <w:pStyle w:val="Heading3"/>
        <w:spacing w:before="200" w:after="100"/>
      </w:pPr>
      <w:r>
        <w:rPr>
          <w:rFonts w:ascii="Arial" w:cs="Arial" w:eastAsia="Arial" w:hAnsi="Arial"/>
          <w:b/>
          <w:bCs/>
          <w:color w:val="2E75B6"/>
          <w:sz w:val="24"/>
          <w:szCs w:val="24"/>
        </w:rPr>
        <w:t xml:space="preserve">Score Handling</w:t>
      </w:r>
    </w:p>
    <w:p>
      <w:pPr>
        <w:spacing w:after="160"/>
      </w:pPr>
      <w:r>
        <w:rPr>
          <w:rFonts w:ascii="Arial" w:cs="Arial" w:eastAsia="Arial" w:hAnsi="Arial"/>
          <w:color w:val="404040"/>
          <w:sz w:val="22"/>
          <w:szCs w:val="22"/>
        </w:rPr>
        <w:t xml:space="preserve">x_opencti_score is not written to observables or derived entities. VT's detection ratio is surfaced in the assessment note content only. This preserves analyst-assigned scores and prevents automated scoring from overwriting validated intelligence.</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10. Container Scoping</w:t>
      </w:r>
    </w:p>
    <w:p>
      <w:pPr>
        <w:spacing w:after="160"/>
      </w:pPr>
      <w:r>
        <w:rPr>
          <w:rFonts w:ascii="Arial" w:cs="Arial" w:eastAsia="Arial" w:hAnsi="Arial"/>
          <w:color w:val="404040"/>
          <w:sz w:val="22"/>
          <w:szCs w:val="22"/>
        </w:rPr>
        <w:t xml:space="preserve">All objects created during enrichment are added to the originating RFI container after bundle submission. A retry loop with exponential backoff handles the timing gap between bundle submission and worker database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Maximum attempts</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5 per object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Initial delay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 seconds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Backoff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Doubles on each retry (2s, 4s, 8s, 16s)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Retry trigger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internal_id undefined errors only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Failure handling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Non-fatal — logged as warning, run continues</w:t>
            </w:r>
          </w:p>
        </w:tc>
      </w:tr>
    </w:tbl>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11. Authorship and Identity</w:t>
      </w:r>
    </w:p>
    <w:p>
      <w:pPr>
        <w:spacing w:after="160"/>
      </w:pPr>
      <w:r>
        <w:rPr>
          <w:rFonts w:ascii="Arial" w:cs="Arial" w:eastAsia="Arial" w:hAnsi="Arial"/>
          <w:color w:val="404040"/>
          <w:sz w:val="22"/>
          <w:szCs w:val="22"/>
        </w:rPr>
        <w:t xml:space="preserve">At startup, the connector registers or resolves a VirusTotal Organization Identity in the OpenCTI graph via identity.create(update=True). This is a graph-persisted entity — not a transient bundle object. All objects created by the connector carry this identity as created_by_ref.</w:t>
      </w:r>
    </w:p>
    <w:p>
      <w:pPr>
        <w:spacing w:after="160"/>
      </w:pPr>
      <w:r>
        <w:rPr>
          <w:rFonts w:ascii="Arial" w:cs="Arial" w:eastAsia="Arial" w:hAnsi="Arial"/>
          <w:color w:val="404040"/>
          <w:sz w:val="22"/>
          <w:szCs w:val="22"/>
        </w:rPr>
        <w:t xml:space="preserve">The TLP:GREEN marking definition ID is resolved from the API at startup since marking IDs are instance-specific. A missing TLP:GREEN is a hard startup failure — the connector cannot operate without it.</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12.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CONNECTOR_SCOPE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Case-Rfi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Container-level trigger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CONNECTOR_AUTO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false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Analyst-initiated recommended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ChangeMe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Required — VT API key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VIRUSTOTAL_REPLACE_WITH_LOWER_SCORE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false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Preserve higher existing scores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VIRUSTOTAL_REQUEST_DELAY_SECONDS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 for premium API keys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VIRUSTOTAL_STATE_PATH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/opt/connector/state/...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Requires volume mount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VIRUSTOTAL_FILE_CREATE_NOTE_FULL_REPORT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Per-engine scan table note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VIRUSTOTAL_FILE_IMPORT_YARA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true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YARA Indicators (only Indicator 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VIRUSTOTAL_FILE_UPLOAD_UNSEEN_ARTIFACTS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false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Upload unknown artifacts to VT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VIRUSTOTAL_IP_ADD_RELATIONSHIPS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true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ASN + Country relationships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VIRUSTOTAL_DOMAIN_ADD_RELATIONSHIPS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04040"/>
                <w:sz w:val="18"/>
                <w:szCs w:val="18"/>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Passive-DNS IPv4 observables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VIRUSTOTAL_URL_UPLOAD_UNSEEN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04040"/>
                <w:sz w:val="18"/>
                <w:szCs w:val="18"/>
              </w:rPr>
              <w:t xml:space="preserve">false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Submit unknown URLs to VT</w:t>
            </w:r>
          </w:p>
        </w:tc>
      </w:tr>
    </w:tbl>
    <w:p>
      <w:pPr>
        <w:spacing w:after="120"/>
      </w:pPr>
      <w:r>
        <w:t xml:space="preserve"/>
      </w:r>
    </w:p>
    <w:p>
      <w:pPr>
        <w:pStyle w:val="Heading3"/>
        <w:spacing w:before="200" w:after="100"/>
      </w:pPr>
      <w:r>
        <w:rPr>
          <w:rFonts w:ascii="Arial" w:cs="Arial" w:eastAsia="Arial" w:hAnsi="Arial"/>
          <w:b/>
          <w:bCs/>
          <w:color w:val="2E75B6"/>
          <w:sz w:val="24"/>
          <w:szCs w:val="24"/>
        </w:rPr>
        <w:t xml:space="preserve">Removed Upstream Variables</w:t>
      </w:r>
    </w:p>
    <w:p>
      <w:pPr>
        <w:pStyle w:val="ListParagraph"/>
        <w:numPr>
          <w:ilvl w:val="0"/>
          <w:numId w:val="2"/>
        </w:numPr>
        <w:spacing w:after="100"/>
      </w:pPr>
      <w:r>
        <w:rPr>
          <w:rFonts w:ascii="Arial" w:cs="Arial" w:eastAsia="Arial" w:hAnsi="Arial"/>
          <w:b w:val="false"/>
          <w:bCs w:val="false"/>
          <w:color w:val="404040"/>
          <w:sz w:val="22"/>
          <w:szCs w:val="22"/>
        </w:rPr>
        <w:t xml:space="preserve">VIRUSTOTAL_*_INDICATOR_CREATE_POSITIVES — threshold-based Indicator creation removed</w:t>
      </w:r>
    </w:p>
    <w:p>
      <w:pPr>
        <w:pStyle w:val="ListParagraph"/>
        <w:numPr>
          <w:ilvl w:val="0"/>
          <w:numId w:val="2"/>
        </w:numPr>
        <w:spacing w:after="100"/>
      </w:pPr>
      <w:r>
        <w:rPr>
          <w:rFonts w:ascii="Arial" w:cs="Arial" w:eastAsia="Arial" w:hAnsi="Arial"/>
          <w:b w:val="false"/>
          <w:bCs w:val="false"/>
          <w:color w:val="404040"/>
          <w:sz w:val="22"/>
          <w:szCs w:val="22"/>
        </w:rPr>
        <w:t xml:space="preserve">VIRUSTOTAL_*_INDICATOR_VALID_MINUTES — dead config</w:t>
      </w:r>
    </w:p>
    <w:p>
      <w:pPr>
        <w:pStyle w:val="ListParagraph"/>
        <w:numPr>
          <w:ilvl w:val="0"/>
          <w:numId w:val="2"/>
        </w:numPr>
        <w:spacing w:after="100"/>
      </w:pPr>
      <w:r>
        <w:rPr>
          <w:rFonts w:ascii="Arial" w:cs="Arial" w:eastAsia="Arial" w:hAnsi="Arial"/>
          <w:b w:val="false"/>
          <w:bCs w:val="false"/>
          <w:color w:val="404040"/>
          <w:sz w:val="22"/>
          <w:szCs w:val="22"/>
        </w:rPr>
        <w:t xml:space="preserve">VIRUSTOTAL_*_INDICATOR_DETECT — dead config</w:t>
      </w:r>
    </w:p>
    <w:p>
      <w:pPr>
        <w:pStyle w:val="ListParagraph"/>
        <w:numPr>
          <w:ilvl w:val="0"/>
          <w:numId w:val="2"/>
        </w:numPr>
        <w:spacing w:after="100"/>
      </w:pPr>
      <w:r>
        <w:rPr>
          <w:rFonts w:ascii="Arial" w:cs="Arial" w:eastAsia="Arial" w:hAnsi="Arial"/>
          <w:b w:val="false"/>
          <w:bCs w:val="false"/>
          <w:color w:val="404040"/>
          <w:sz w:val="22"/>
          <w:szCs w:val="22"/>
        </w:rPr>
        <w:t xml:space="preserve">VIRUSTOTAL_MAX_TLP — replaced by hardcoded per-observable TLP filter</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13. Known Limitations and Deferred Items</w:t>
      </w:r>
    </w:p>
    <w:p>
      <w:pPr>
        <w:pStyle w:val="Heading3"/>
        <w:spacing w:before="200" w:after="100"/>
      </w:pPr>
      <w:r>
        <w:rPr>
          <w:rFonts w:ascii="Arial" w:cs="Arial" w:eastAsia="Arial" w:hAnsi="Arial"/>
          <w:b/>
          <w:bCs/>
          <w:color w:val="2E75B6"/>
          <w:sz w:val="24"/>
          <w:szCs w:val="24"/>
        </w:rPr>
        <w:t xml:space="preserve">Container Object Pagination</w:t>
      </w:r>
    </w:p>
    <w:p>
      <w:pPr>
        <w:spacing w:after="160"/>
      </w:pPr>
      <w:r>
        <w:rPr>
          <w:rFonts w:ascii="Arial" w:cs="Arial" w:eastAsia="Arial" w:hAnsi="Arial"/>
          <w:color w:val="404040"/>
          <w:sz w:val="22"/>
          <w:szCs w:val="22"/>
        </w:rPr>
        <w:t xml:space="preserve">The container query uses first: 500. RFI containers with more than 500 objects will only process the first 500 returned. For large investigations, multiple enrichment runs may be required, or the pagination limit should be increased.</w:t>
      </w:r>
    </w:p>
    <w:p>
      <w:pPr>
        <w:pStyle w:val="Heading3"/>
        <w:spacing w:before="200" w:after="100"/>
      </w:pPr>
      <w:r>
        <w:rPr>
          <w:rFonts w:ascii="Arial" w:cs="Arial" w:eastAsia="Arial" w:hAnsi="Arial"/>
          <w:b/>
          <w:bCs/>
          <w:color w:val="2E75B6"/>
          <w:sz w:val="24"/>
          <w:szCs w:val="24"/>
        </w:rPr>
        <w:t xml:space="preserve">Score Computation Edge Case</w:t>
      </w:r>
    </w:p>
    <w:p>
      <w:pPr>
        <w:spacing w:after="160"/>
      </w:pPr>
      <w:r>
        <w:rPr>
          <w:rFonts w:ascii="Arial" w:cs="Arial" w:eastAsia="Arial" w:hAnsi="Arial"/>
          <w:color w:val="404040"/>
          <w:sz w:val="22"/>
          <w:szCs w:val="22"/>
        </w:rPr>
        <w:t xml:space="preserve">When VT returns a response with zeroed-out analysis stats (the file exists in VT but analysis is pending), the score computation raises a ZeroDivisionError. This is caught by the per-observable error isolation and logged as a warning. The observable is skipped without a not-found note. A future improvement would detect this state and produce a 'pending analysis' note instead.</w:t>
      </w:r>
    </w:p>
    <w:p>
      <w:pPr>
        <w:pStyle w:val="Heading3"/>
        <w:spacing w:before="200" w:after="100"/>
      </w:pPr>
      <w:r>
        <w:rPr>
          <w:rFonts w:ascii="Arial" w:cs="Arial" w:eastAsia="Arial" w:hAnsi="Arial"/>
          <w:b/>
          <w:bCs/>
          <w:color w:val="2E75B6"/>
          <w:sz w:val="24"/>
          <w:szCs w:val="24"/>
        </w:rPr>
        <w:t xml:space="preserve">Assessment Note on SCO object_refs</w:t>
      </w:r>
    </w:p>
    <w:p>
      <w:pPr>
        <w:spacing w:after="160"/>
      </w:pPr>
      <w:r>
        <w:rPr>
          <w:rFonts w:ascii="Arial" w:cs="Arial" w:eastAsia="Arial" w:hAnsi="Arial"/>
          <w:color w:val="404040"/>
          <w:sz w:val="22"/>
          <w:szCs w:val="22"/>
        </w:rPr>
        <w:t xml:space="preserve">STIX 2.1 Notes reference SDOs in object_refs. OpenCTI's worker may reject Notes referencing SCOs in certain edge cases, causing the note to exist in the graph but not appear linked to the observable in the UI. Requires validation testing across observable types.</w:t>
      </w:r>
    </w:p>
    <w:p>
      <w:pPr>
        <w:pStyle w:val="Heading3"/>
        <w:spacing w:before="200" w:after="100"/>
      </w:pPr>
      <w:r>
        <w:rPr>
          <w:rFonts w:ascii="Arial" w:cs="Arial" w:eastAsia="Arial" w:hAnsi="Arial"/>
          <w:b/>
          <w:bCs/>
          <w:color w:val="2E75B6"/>
          <w:sz w:val="24"/>
          <w:szCs w:val="24"/>
        </w:rPr>
        <w:t xml:space="preserve">Behavioral Tag Blocklist</w:t>
      </w:r>
    </w:p>
    <w:p>
      <w:pPr>
        <w:spacing w:after="160"/>
      </w:pPr>
      <w:r>
        <w:rPr>
          <w:rFonts w:ascii="Arial" w:cs="Arial" w:eastAsia="Arial" w:hAnsi="Arial"/>
          <w:color w:val="404040"/>
          <w:sz w:val="22"/>
          <w:szCs w:val="22"/>
        </w:rPr>
        <w:t xml:space="preserve">VT's behavioral tag vocabulary is extensive and not exhaustively documented. The _GENERIC_TAGS blocklist covers known categories but may not capture all behavioral tags. Tags not in the blocklist that do not match CVE or ATT&amp;CK patterns will be classified as Malware family names. The blocklist should be reviewed periodically against new VT output.</w:t>
      </w:r>
    </w:p>
    <w:p>
      <w:pPr>
        <w:spacing w:after="120"/>
      </w:pPr>
      <w:r>
        <w:t xml:space="preserve"/>
      </w:r>
    </w:p>
    <w:p>
      <w:pPr>
        <w:pStyle w:val="Heading2"/>
        <w:pBdr>
          <w:bottom w:val="single" w:color="2E75B6" w:sz="6" w:space="1"/>
        </w:pBdr>
        <w:spacing w:before="320" w:after="160"/>
      </w:pPr>
      <w:r>
        <w:rPr>
          <w:rFonts w:ascii="Arial" w:cs="Arial" w:eastAsia="Arial" w:hAnsi="Arial"/>
          <w:b/>
          <w:bCs/>
          <w:color w:val="1F3864"/>
          <w:sz w:val="28"/>
          <w:szCs w:val="28"/>
        </w:rPr>
        <w:t xml:space="preserve">14. Design Philosophy Summary</w:t>
      </w:r>
    </w:p>
    <w:p>
      <w:pPr>
        <w:pStyle w:val="Heading3"/>
        <w:spacing w:before="200" w:after="100"/>
      </w:pPr>
      <w:r>
        <w:rPr>
          <w:rFonts w:ascii="Arial" w:cs="Arial" w:eastAsia="Arial" w:hAnsi="Arial"/>
          <w:b/>
          <w:bCs/>
          <w:color w:val="2E75B6"/>
          <w:sz w:val="24"/>
          <w:szCs w:val="24"/>
        </w:rPr>
        <w:t xml:space="preserve">Enrichment is a deliberate analytical act</w:t>
      </w:r>
    </w:p>
    <w:p>
      <w:pPr>
        <w:spacing w:after="160"/>
      </w:pPr>
      <w:r>
        <w:rPr>
          <w:rFonts w:ascii="Arial" w:cs="Arial" w:eastAsia="Arial" w:hAnsi="Arial"/>
          <w:color w:val="404040"/>
          <w:sz w:val="22"/>
          <w:szCs w:val="22"/>
        </w:rPr>
        <w:t xml:space="preserve">Enrichment is restricted to the RFI workbench context. The connector does not fire on every observable creation platform-wide. Every enrichment run is tied to an active investigative context. The graph should reflect deliberate intelligence production, not automated data accumulation.</w:t>
      </w:r>
    </w:p>
    <w:p>
      <w:pPr>
        <w:pStyle w:val="Heading3"/>
        <w:spacing w:before="200" w:after="100"/>
      </w:pPr>
      <w:r>
        <w:rPr>
          <w:rFonts w:ascii="Arial" w:cs="Arial" w:eastAsia="Arial" w:hAnsi="Arial"/>
          <w:b/>
          <w:bCs/>
          <w:color w:val="2E75B6"/>
          <w:sz w:val="24"/>
          <w:szCs w:val="24"/>
        </w:rPr>
        <w:t xml:space="preserve">The graph is authoritative — not the connector</w:t>
      </w:r>
    </w:p>
    <w:p>
      <w:pPr>
        <w:spacing w:after="160"/>
      </w:pPr>
      <w:r>
        <w:rPr>
          <w:rFonts w:ascii="Arial" w:cs="Arial" w:eastAsia="Arial" w:hAnsi="Arial"/>
          <w:color w:val="404040"/>
          <w:sz w:val="22"/>
          <w:szCs w:val="22"/>
        </w:rPr>
        <w:t xml:space="preserve">The connector does not make decisions that belong to the graph or to the analyst. Scores are not written to observables. Indicators are not created from detection thresholds. The connector's role is to surface VT's data in a structured form. Analytical judgments remain with the analyst.</w:t>
      </w:r>
    </w:p>
    <w:p>
      <w:pPr>
        <w:pStyle w:val="Heading3"/>
        <w:spacing w:before="200" w:after="100"/>
      </w:pPr>
      <w:r>
        <w:rPr>
          <w:rFonts w:ascii="Arial" w:cs="Arial" w:eastAsia="Arial" w:hAnsi="Arial"/>
          <w:b/>
          <w:bCs/>
          <w:color w:val="2E75B6"/>
          <w:sz w:val="24"/>
          <w:szCs w:val="24"/>
        </w:rPr>
        <w:t xml:space="preserve">State enables precision</w:t>
      </w:r>
    </w:p>
    <w:p>
      <w:pPr>
        <w:spacing w:after="160"/>
      </w:pPr>
      <w:r>
        <w:rPr>
          <w:rFonts w:ascii="Arial" w:cs="Arial" w:eastAsia="Arial" w:hAnsi="Arial"/>
          <w:color w:val="404040"/>
          <w:sz w:val="22"/>
          <w:szCs w:val="22"/>
        </w:rPr>
        <w:t xml:space="preserve">Per-container state tracking ensures enrichment is efficient and non-redundant. Subsequent runs process only new additions. The analyst's time is not wasted on re-enriching observables that were already processed, and the VT API quota is consumed only on new intelligence.</w:t>
      </w:r>
    </w:p>
    <w:p>
      <w:pPr>
        <w:pStyle w:val="Heading3"/>
        <w:spacing w:before="200" w:after="100"/>
      </w:pPr>
      <w:r>
        <w:rPr>
          <w:rFonts w:ascii="Arial" w:cs="Arial" w:eastAsia="Arial" w:hAnsi="Arial"/>
          <w:b/>
          <w:bCs/>
          <w:color w:val="2E75B6"/>
          <w:sz w:val="24"/>
          <w:szCs w:val="24"/>
        </w:rPr>
        <w:t xml:space="preserve">Every object must be container-scoped</w:t>
      </w:r>
    </w:p>
    <w:p>
      <w:pPr>
        <w:spacing w:after="160"/>
      </w:pPr>
      <w:r>
        <w:rPr>
          <w:rFonts w:ascii="Arial" w:cs="Arial" w:eastAsia="Arial" w:hAnsi="Arial"/>
          <w:color w:val="404040"/>
          <w:sz w:val="22"/>
          <w:szCs w:val="22"/>
        </w:rPr>
        <w:t xml:space="preserve">No entity or observable should exist outside a container. All derived objects are scoped to the originating RFI after bundle submission. The retry loop and non-fatal failure handling ensure enrichment is never blocked by timing races.</w:t>
      </w:r>
    </w:p>
    <w:p>
      <w:pPr>
        <w:pStyle w:val="Heading3"/>
        <w:spacing w:before="200" w:after="100"/>
      </w:pPr>
      <w:r>
        <w:rPr>
          <w:rFonts w:ascii="Arial" w:cs="Arial" w:eastAsia="Arial" w:hAnsi="Arial"/>
          <w:b/>
          <w:bCs/>
          <w:color w:val="2E75B6"/>
          <w:sz w:val="24"/>
          <w:szCs w:val="24"/>
        </w:rPr>
        <w:t xml:space="preserve">Absence of data is data</w:t>
      </w:r>
    </w:p>
    <w:p>
      <w:pPr>
        <w:spacing w:after="160"/>
      </w:pPr>
      <w:r>
        <w:rPr>
          <w:rFonts w:ascii="Arial" w:cs="Arial" w:eastAsia="Arial" w:hAnsi="Arial"/>
          <w:color w:val="404040"/>
          <w:sz w:val="22"/>
          <w:szCs w:val="22"/>
        </w:rPr>
        <w:t xml:space="preserve">A VT 404 is not an error. It is intelligence. Not-found states are recorded as assessment notes with context and analyst guidance. Every enrichment attempt produces a knowable, traceable output in the graph.</w:t>
      </w:r>
    </w:p>
    <w:p>
      <w:pPr>
        <w:pStyle w:val="Heading3"/>
        <w:spacing w:before="200" w:after="100"/>
      </w:pPr>
      <w:r>
        <w:rPr>
          <w:rFonts w:ascii="Arial" w:cs="Arial" w:eastAsia="Arial" w:hAnsi="Arial"/>
          <w:b/>
          <w:bCs/>
          <w:color w:val="2E75B6"/>
          <w:sz w:val="24"/>
          <w:szCs w:val="24"/>
        </w:rPr>
        <w:t xml:space="preserve">Provenance must be self-contained</w:t>
      </w:r>
    </w:p>
    <w:p>
      <w:pPr>
        <w:spacing w:after="160"/>
      </w:pPr>
      <w:r>
        <w:rPr>
          <w:rFonts w:ascii="Arial" w:cs="Arial" w:eastAsia="Arial" w:hAnsi="Arial"/>
          <w:color w:val="404040"/>
          <w:sz w:val="22"/>
          <w:szCs w:val="22"/>
        </w:rPr>
        <w:t xml:space="preserve">Every object the connector creates carries enough information to be understood without navigating to a parent entity. The VT permalink, VirusTotal Identity as author, TLP:GREEN marking, and descriptive relationship text all serve this goal.</w:t>
      </w:r>
    </w:p>
    <w:p>
      <w:pPr>
        <w:spacing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80"/>
    </w:pPr>
    <w:r>
      <w:rPr>
        <w:rFonts w:ascii="Arial" w:cs="Arial" w:eastAsia="Arial" w:hAnsi="Arial"/>
        <w:color w:val="2E75B6"/>
        <w:sz w:val="18"/>
        <w:szCs w:val="18"/>
      </w:rPr>
      <w:t xml:space="preserve">INTERNAL USE ONLY  |  TLP:GREEN</w:t>
    </w:r>
    <w:r>
      <w:rPr>
        <w:rFonts w:ascii="Arial" w:cs="Arial" w:eastAsia="Arial" w:hAnsi="Arial"/>
        <w:sz w:val="18"/>
        <w:szCs w:val="18"/>
      </w:rPr>
      <w:tab/>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color w:val="2E75B6"/>
        <w:sz w:val="18"/>
        <w:szCs w:val="18"/>
      </w:rPr>
      <w:t xml:space="preserve">VirusTotal Enrichment Connector  |  Scoping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2026-03-24T10:48:06.215Z</dcterms:created>
  <dcterms:modified xsi:type="dcterms:W3CDTF">2026-03-24T10:48:06.216Z</dcterms:modified>
</cp:coreProperties>
</file>

<file path=docProps/custom.xml><?xml version="1.0" encoding="utf-8"?>
<Properties xmlns="http://schemas.openxmlformats.org/officeDocument/2006/custom-properties" xmlns:vt="http://schemas.openxmlformats.org/officeDocument/2006/docPropsVTypes"/>
</file>