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120"/>
      </w:pPr>
      <w:r>
        <w:rPr>
          <w:sz w:val="8"/>
          <w:szCs w:val="8"/>
        </w:rPr>
        <w:t xml:space="preserve"/>
      </w:r>
    </w:p>
    <w:p>
      <w:pPr>
        <w:shd w:fill="1F4E79" w:val="clear"/>
        <w:spacing w:before="40" w:after="0"/>
        <w:jc w:val="center"/>
      </w:pPr>
      <w:r>
        <w:rPr>
          <w:rFonts w:ascii="Arial" w:cs="Arial" w:eastAsia="Arial" w:hAnsi="Arial"/>
          <w:b/>
          <w:bCs/>
          <w:color w:val="FFFFFF"/>
          <w:sz w:val="48"/>
          <w:szCs w:val="48"/>
        </w:rPr>
        <w:t xml:space="preserve">CONNECTOR SCOPE DOCUMENT</w:t>
      </w:r>
    </w:p>
    <w:p>
      <w:pPr>
        <w:shd w:fill="1F4E79" w:val="clear"/>
        <w:spacing w:before="0" w:after="40"/>
        <w:jc w:val="center"/>
      </w:pPr>
      <w:r>
        <w:rPr>
          <w:rFonts w:ascii="Arial" w:cs="Arial" w:eastAsia="Arial" w:hAnsi="Arial"/>
          <w:color w:val="D6E4F0"/>
          <w:sz w:val="32"/>
          <w:szCs w:val="32"/>
        </w:rPr>
        <w:t xml:space="preserve">Synthient Enrichment Connector</w:t>
      </w:r>
    </w:p>
    <w:p>
      <w:pPr>
        <w:shd w:fill="1F4E79" w:val="clear"/>
        <w:spacing w:before="0" w:after="120"/>
      </w:pPr>
      <w:r>
        <w:rPr>
          <w:sz w:val="8"/>
          <w:szCs w:val="8"/>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Version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Platform</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OpenCTI 6.9.13</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Connector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INTERNAL_ENRICHMENT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 Scope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Case-Rfi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Observable Scope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IPv4-Addr, IPv6-Addr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Production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Source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Synthient IP Intelligence (synthient.com)</w:t>
            </w:r>
          </w:p>
        </w:tc>
      </w:tr>
    </w:tbl>
    <w:p>
      <w:pPr>
        <w:spacing w:before="60" w:after="60"/>
      </w:pPr>
      <w:r>
        <w:t xml:space="preserve"/>
      </w:r>
    </w:p>
    <w:p>
      <w:pPr>
        <w:pBdr>
          <w:bottom w:val="single" w:color="CCCCCC" w:sz="2" w:space="1"/>
        </w:pBdr>
        <w:spacing w:before="120" w:after="12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 Purpose and Scope</w:t>
      </w:r>
    </w:p>
    <w:p>
      <w:pPr>
        <w:pStyle w:val="Heading2"/>
        <w:pBdr>
          <w:bottom w:val="single" w:color="2E75B6" w:sz="4" w:space="1"/>
        </w:pBdr>
        <w:spacing w:before="280" w:after="80"/>
      </w:pPr>
      <w:r>
        <w:rPr>
          <w:rFonts w:ascii="Arial" w:cs="Arial" w:eastAsia="Arial" w:hAnsi="Arial"/>
          <w:b/>
          <w:bCs/>
          <w:color w:val="2E75B6"/>
          <w:sz w:val="26"/>
          <w:szCs w:val="26"/>
        </w:rPr>
        <w:t xml:space="preserve">What This Connector Does</w:t>
      </w:r>
    </w:p>
    <w:p>
      <w:pPr>
        <w:spacing w:before="60" w:after="60"/>
      </w:pPr>
      <w:r>
        <w:rPr>
          <w:rFonts w:ascii="Arial" w:cs="Arial" w:eastAsia="Arial" w:hAnsi="Arial"/>
          <w:color w:val="000000"/>
          <w:sz w:val="20"/>
          <w:szCs w:val="20"/>
        </w:rPr>
        <w:t xml:space="preserve">The Synthient Enrichment Connector enriches IPv4 and IPv6 observables within an analyst-opened Case-Rfi using the Synthient v3 IP Intelligence API. For each IP observable in the container, it writes structured enrichment output back into OpenCTI — scoped entirely to the triggering RFI.</w:t>
      </w:r>
    </w:p>
    <w:p>
      <w:pPr>
        <w:spacing w:before="60" w:after="60"/>
      </w:pPr>
      <w:r>
        <w:rPr>
          <w:rFonts w:ascii="Arial" w:cs="Arial" w:eastAsia="Arial" w:hAnsi="Arial"/>
          <w:color w:val="000000"/>
          <w:sz w:val="20"/>
          <w:szCs w:val="20"/>
        </w:rPr>
        <w:t xml:space="preserve">The connector is an analyst tool, not an automated pipeline. It exists to accelerate investigation by surfacing network reputation context (proxy/VPN classification, risk scoring, ASN ownership, geolocation) at the point of analysis rather than requiring analysts to context-switch to external tools.</w:t>
      </w:r>
    </w:p>
    <w:p>
      <w:pPr>
        <w:pStyle w:val="Heading2"/>
        <w:pBdr>
          <w:bottom w:val="single" w:color="2E75B6" w:sz="4" w:space="1"/>
        </w:pBdr>
        <w:spacing w:before="280" w:after="80"/>
      </w:pPr>
      <w:r>
        <w:rPr>
          <w:rFonts w:ascii="Arial" w:cs="Arial" w:eastAsia="Arial" w:hAnsi="Arial"/>
          <w:b/>
          <w:bCs/>
          <w:color w:val="2E75B6"/>
          <w:sz w:val="26"/>
          <w:szCs w:val="26"/>
        </w:rPr>
        <w:t xml:space="preserve">What This Connector Does Not Do</w:t>
      </w:r>
    </w:p>
    <w:p>
      <w:pPr>
        <w:pStyle w:val="ListParagraph"/>
        <w:numPr>
          <w:ilvl w:val="0"/>
          <w:numId w:val="2"/>
        </w:numPr>
        <w:spacing w:before="40" w:after="40"/>
      </w:pPr>
      <w:r>
        <w:rPr>
          <w:rFonts w:ascii="Arial" w:cs="Arial" w:eastAsia="Arial" w:hAnsi="Arial"/>
          <w:color w:val="000000"/>
          <w:sz w:val="20"/>
          <w:szCs w:val="20"/>
        </w:rPr>
        <w:t xml:space="preserve">It does not run automatically on ingestion or on a schedule.</w:t>
      </w:r>
    </w:p>
    <w:p>
      <w:pPr>
        <w:pStyle w:val="ListParagraph"/>
        <w:numPr>
          <w:ilvl w:val="0"/>
          <w:numId w:val="2"/>
        </w:numPr>
        <w:spacing w:before="40" w:after="40"/>
      </w:pPr>
      <w:r>
        <w:rPr>
          <w:rFonts w:ascii="Arial" w:cs="Arial" w:eastAsia="Arial" w:hAnsi="Arial"/>
          <w:color w:val="000000"/>
          <w:sz w:val="20"/>
          <w:szCs w:val="20"/>
        </w:rPr>
        <w:t xml:space="preserve">It does not enrich observable types other than IPv4-Addr and IPv6-Addr.</w:t>
      </w:r>
    </w:p>
    <w:p>
      <w:pPr>
        <w:pStyle w:val="ListParagraph"/>
        <w:numPr>
          <w:ilvl w:val="0"/>
          <w:numId w:val="2"/>
        </w:numPr>
        <w:spacing w:before="40" w:after="40"/>
      </w:pPr>
      <w:r>
        <w:rPr>
          <w:rFonts w:ascii="Arial" w:cs="Arial" w:eastAsia="Arial" w:hAnsi="Arial"/>
          <w:color w:val="000000"/>
          <w:sz w:val="20"/>
          <w:szCs w:val="20"/>
        </w:rPr>
        <w:t xml:space="preserve">It does not create Indicators, Threat Actors, Intrusion Sets, Malware, or any SDO beyond Organization.</w:t>
      </w:r>
    </w:p>
    <w:p>
      <w:pPr>
        <w:pStyle w:val="ListParagraph"/>
        <w:numPr>
          <w:ilvl w:val="0"/>
          <w:numId w:val="2"/>
        </w:numPr>
        <w:spacing w:before="40" w:after="40"/>
      </w:pPr>
      <w:r>
        <w:rPr>
          <w:rFonts w:ascii="Arial" w:cs="Arial" w:eastAsia="Arial" w:hAnsi="Arial"/>
          <w:color w:val="000000"/>
          <w:sz w:val="20"/>
          <w:szCs w:val="20"/>
        </w:rPr>
        <w:t xml:space="preserve">It does not create Location entities — countries are looked up, never created.</w:t>
      </w:r>
    </w:p>
    <w:p>
      <w:pPr>
        <w:pStyle w:val="ListParagraph"/>
        <w:numPr>
          <w:ilvl w:val="0"/>
          <w:numId w:val="2"/>
        </w:numPr>
        <w:spacing w:before="40" w:after="40"/>
      </w:pPr>
      <w:r>
        <w:rPr>
          <w:rFonts w:ascii="Arial" w:cs="Arial" w:eastAsia="Arial" w:hAnsi="Arial"/>
          <w:color w:val="000000"/>
          <w:sz w:val="20"/>
          <w:szCs w:val="20"/>
        </w:rPr>
        <w:t xml:space="preserve">It does not modify or delete existing graph data.</w:t>
      </w:r>
    </w:p>
    <w:p>
      <w:pPr>
        <w:pStyle w:val="ListParagraph"/>
        <w:numPr>
          <w:ilvl w:val="0"/>
          <w:numId w:val="2"/>
        </w:numPr>
        <w:spacing w:before="40" w:after="40"/>
      </w:pPr>
      <w:r>
        <w:rPr>
          <w:rFonts w:ascii="Arial" w:cs="Arial" w:eastAsia="Arial" w:hAnsi="Arial"/>
          <w:color w:val="000000"/>
          <w:sz w:val="20"/>
          <w:szCs w:val="20"/>
        </w:rPr>
        <w:t xml:space="preserve">It does not operate on Report containers or any container other than Case-Rfi.</w:t>
      </w:r>
    </w:p>
    <w:p>
      <w:pPr>
        <w:pStyle w:val="Heading2"/>
        <w:pBdr>
          <w:bottom w:val="single" w:color="2E75B6" w:sz="4" w:space="1"/>
        </w:pBdr>
        <w:spacing w:before="280" w:after="80"/>
      </w:pPr>
      <w:r>
        <w:rPr>
          <w:rFonts w:ascii="Arial" w:cs="Arial" w:eastAsia="Arial" w:hAnsi="Arial"/>
          <w:b/>
          <w:bCs/>
          <w:color w:val="2E75B6"/>
          <w:sz w:val="26"/>
          <w:szCs w:val="26"/>
        </w:rPr>
        <w:t xml:space="preserve">Analytical Intent</w:t>
      </w:r>
    </w:p>
    <w:p>
      <w:pPr>
        <w:spacing w:before="60" w:after="60"/>
      </w:pPr>
      <w:r>
        <w:rPr>
          <w:rFonts w:ascii="Arial" w:cs="Arial" w:eastAsia="Arial" w:hAnsi="Arial"/>
          <w:color w:val="000000"/>
          <w:sz w:val="20"/>
          <w:szCs w:val="20"/>
        </w:rPr>
        <w:t xml:space="preserve">Synthient data is network-layer intelligence. It answers: Is this IP a proxy, VPN, or anonymization endpoint? What ASN does it belong to? Who operates that network? Where is it geolocated? This context is most valuable during active investigation (RFI) where analysts are triaging unknown IPs from incidents, threat reports, or sensor alerts.</w:t>
      </w:r>
    </w:p>
    <w:p>
      <w:pPr>
        <w:spacing w:before="60" w:after="60"/>
      </w:pPr>
      <w:r>
        <w:rPr>
          <w:rFonts w:ascii="Arial" w:cs="Arial" w:eastAsia="Arial" w:hAnsi="Arial"/>
          <w:color w:val="000000"/>
          <w:sz w:val="20"/>
          <w:szCs w:val="20"/>
        </w:rPr>
        <w:t xml:space="preserve">The output is intentionally scoped to the RFI rather than the global graph to avoid contaminating long-lived threat entities with transient investigation artifacts.</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2. Source: Synthient IP Intelligence</w:t>
      </w:r>
    </w:p>
    <w:p>
      <w:pPr>
        <w:pStyle w:val="Heading2"/>
        <w:pBdr>
          <w:bottom w:val="single" w:color="2E75B6" w:sz="4" w:space="1"/>
        </w:pBdr>
        <w:spacing w:before="280" w:after="80"/>
      </w:pPr>
      <w:r>
        <w:rPr>
          <w:rFonts w:ascii="Arial" w:cs="Arial" w:eastAsia="Arial" w:hAnsi="Arial"/>
          <w:b/>
          <w:bCs/>
          <w:color w:val="2E75B6"/>
          <w:sz w:val="26"/>
          <w:szCs w:val="26"/>
        </w:rPr>
        <w:t xml:space="preserve">Platform Overview</w:t>
      </w:r>
    </w:p>
    <w:p>
      <w:pPr>
        <w:spacing w:before="60" w:after="60"/>
      </w:pPr>
      <w:r>
        <w:rPr>
          <w:rFonts w:ascii="Arial" w:cs="Arial" w:eastAsia="Arial" w:hAnsi="Arial"/>
          <w:color w:val="000000"/>
          <w:sz w:val="20"/>
          <w:szCs w:val="20"/>
        </w:rPr>
        <w:t xml:space="preserve">Synthient (https://synthient.com) is a commercial IP intelligence platform specializing in high-fidelity detection of residential proxies, commercial VPNs, mobile proxies, Tor nodes, and other anonymization infrastructure. Its detection network aggregates signals from a large distributed sensor ecosystem, producing per-IP behavioral profiles and multi-provider enrichment cross-references.</w:t>
      </w:r>
    </w:p>
    <w:p>
      <w:pPr>
        <w:pStyle w:val="Heading2"/>
        <w:pBdr>
          <w:bottom w:val="single" w:color="2E75B6" w:sz="4" w:space="1"/>
        </w:pBdr>
        <w:spacing w:before="280" w:after="80"/>
      </w:pPr>
      <w:r>
        <w:rPr>
          <w:rFonts w:ascii="Arial" w:cs="Arial" w:eastAsia="Arial" w:hAnsi="Arial"/>
          <w:b/>
          <w:bCs/>
          <w:color w:val="2E75B6"/>
          <w:sz w:val="26"/>
          <w:szCs w:val="26"/>
        </w:rPr>
        <w:t xml:space="preserve">API Used</w:t>
      </w:r>
    </w:p>
    <w:p>
      <w:pPr>
        <w:spacing w:before="60" w:after="60"/>
      </w:pPr>
      <w:r>
        <w:rPr>
          <w:rFonts w:ascii="Arial" w:cs="Arial" w:eastAsia="Arial" w:hAnsi="Arial"/>
          <w:color w:val="000000"/>
          <w:sz w:val="20"/>
          <w:szCs w:val="20"/>
        </w:rPr>
        <w:t xml:space="preserve">Endpoint: GET https://v3api.synthient.com/api/v3/lookup/ip/{ip}</w:t>
      </w:r>
    </w:p>
    <w:p>
      <w:pPr>
        <w:spacing w:before="60" w:after="60"/>
      </w:pPr>
      <w:r>
        <w:rPr>
          <w:rFonts w:ascii="Arial" w:cs="Arial" w:eastAsia="Arial" w:hAnsi="Arial"/>
          <w:color w:val="000000"/>
          <w:sz w:val="20"/>
          <w:szCs w:val="20"/>
        </w:rPr>
        <w:t xml:space="preserve">Query parameter: days={N} — lookback window for behavioral data</w:t>
      </w:r>
    </w:p>
    <w:p>
      <w:pPr>
        <w:spacing w:before="60" w:after="60"/>
      </w:pPr>
      <w:r>
        <w:rPr>
          <w:rFonts w:ascii="Arial" w:cs="Arial" w:eastAsia="Arial" w:hAnsi="Arial"/>
          <w:color w:val="000000"/>
          <w:sz w:val="20"/>
          <w:szCs w:val="20"/>
        </w:rPr>
        <w:t xml:space="preserve">Authentication: Authorization: &lt;api_key&gt; header (no Bearer prefix)</w:t>
      </w:r>
    </w:p>
    <w:p>
      <w:pPr>
        <w:spacing w:before="60" w:after="60"/>
      </w:pPr>
      <w:r>
        <w:rPr>
          <w:rFonts w:ascii="Arial" w:cs="Arial" w:eastAsia="Arial" w:hAnsi="Arial"/>
          <w:color w:val="000000"/>
          <w:sz w:val="20"/>
          <w:szCs w:val="20"/>
        </w:rPr>
        <w:t xml:space="preserve">Response format: JSON</w:t>
      </w:r>
    </w:p>
    <w:p>
      <w:pPr>
        <w:pStyle w:val="Heading2"/>
        <w:pBdr>
          <w:bottom w:val="single" w:color="2E75B6" w:sz="4" w:space="1"/>
        </w:pBdr>
        <w:spacing w:before="280" w:after="80"/>
      </w:pPr>
      <w:r>
        <w:rPr>
          <w:rFonts w:ascii="Arial" w:cs="Arial" w:eastAsia="Arial" w:hAnsi="Arial"/>
          <w:b/>
          <w:bCs/>
          <w:color w:val="2E75B6"/>
          <w:sz w:val="26"/>
          <w:szCs w:val="26"/>
        </w:rPr>
        <w:t xml:space="preserve">Category Vocabulary (ip_data.categories)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RESIDENTIAL_PROXY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IP operating as a residential proxy endpoint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COMMERCIAL_VPN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Commercial VPN service exit node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FREE_VPN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Free VPN service exit node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ENTERPRISE_VPN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Enterprise/corporate VPN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MOBILE_PROXY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Mobile network proxy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BLOCKCHAIN_PROXY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Blockchain-based proxy network</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PUBLIC_PROXY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Open/public proxy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DATACENTER_PROXY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Datacenter-hosted proxy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TOR_NODE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Tor network node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PRIVATE_RELAY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Apple Private Relay or similar</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Behavior Vocabulary (ip_data.behavior)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PROGRAMMATIC_TRAFFIC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Automated/bot traffic patterns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ACTIVE_CRAWLER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Web crawler activity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TORRENTING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P2P/torrent traffic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TOR_USER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Tor usage behavior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CREDENTIAL_STUFFING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Credential stuffing attack patterns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COMPROMISED_DEVICE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Signs of device compromise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MALICIOUS_TRAFFIC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Malicious traffic patterns</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API Not Used</w:t>
      </w:r>
    </w:p>
    <w:p>
      <w:pPr>
        <w:spacing w:before="60" w:after="60"/>
      </w:pPr>
      <w:r>
        <w:rPr>
          <w:rFonts w:ascii="Arial" w:cs="Arial" w:eastAsia="Arial" w:hAnsi="Arial"/>
          <w:color w:val="000000"/>
          <w:sz w:val="20"/>
          <w:szCs w:val="20"/>
        </w:rPr>
        <w:t xml:space="preserve">The Synthient Feed API (feeds.synthient.com) — which provides bulk JSONL/CSV feeds of proxy sightings and blacklist CIDRs — is handled by the companion Synthient Feed connector. Feed access requires separate tier provisioning. This connector is strictly lookup-only.</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3. Trigger Model</w:t>
      </w:r>
    </w:p>
    <w:p>
      <w:pPr>
        <w:pStyle w:val="Heading2"/>
        <w:pBdr>
          <w:bottom w:val="single" w:color="2E75B6" w:sz="4" w:space="1"/>
        </w:pBdr>
        <w:spacing w:before="280" w:after="80"/>
      </w:pPr>
      <w:r>
        <w:rPr>
          <w:rFonts w:ascii="Arial" w:cs="Arial" w:eastAsia="Arial" w:hAnsi="Arial"/>
          <w:b/>
          <w:bCs/>
          <w:color w:val="2E75B6"/>
          <w:sz w:val="26"/>
          <w:szCs w:val="26"/>
        </w:rPr>
        <w:t xml:space="preserve">Trigger Type</w:t>
      </w:r>
    </w:p>
    <w:p>
      <w:pPr>
        <w:spacing w:before="60" w:after="60"/>
      </w:pPr>
      <w:r>
        <w:rPr>
          <w:rFonts w:ascii="Arial" w:cs="Arial" w:eastAsia="Arial" w:hAnsi="Arial"/>
          <w:color w:val="000000"/>
          <w:sz w:val="20"/>
          <w:szCs w:val="20"/>
        </w:rPr>
        <w:t xml:space="preserve">INTERNAL_ENRICHMENT — the connector registers with OpenCTI and listens on a RabbitMQ queue. It is invoked when an analyst manually triggers enrichment on a Case-Rfi entity via the OpenCTI UI.</w:t>
      </w:r>
    </w:p>
    <w:p>
      <w:pPr>
        <w:pStyle w:val="Heading2"/>
        <w:pBdr>
          <w:bottom w:val="single" w:color="2E75B6" w:sz="4" w:space="1"/>
        </w:pBdr>
        <w:spacing w:before="280" w:after="80"/>
      </w:pPr>
      <w:r>
        <w:rPr>
          <w:rFonts w:ascii="Arial" w:cs="Arial" w:eastAsia="Arial" w:hAnsi="Arial"/>
          <w:b/>
          <w:bCs/>
          <w:color w:val="2E75B6"/>
          <w:sz w:val="26"/>
          <w:szCs w:val="26"/>
        </w:rPr>
        <w:t xml:space="preserve">Auto-Enrichment</w:t>
      </w:r>
    </w:p>
    <w:p>
      <w:pPr>
        <w:spacing w:before="60" w:after="60"/>
      </w:pPr>
      <w:r>
        <w:rPr>
          <w:rFonts w:ascii="Arial" w:cs="Arial" w:eastAsia="Arial" w:hAnsi="Arial"/>
          <w:color w:val="000000"/>
          <w:sz w:val="20"/>
          <w:szCs w:val="20"/>
        </w:rPr>
        <w:t xml:space="preserve">auto: False — this is a hard configuration constraint. The connector will never trigger automatically on entity creation or update. Rationale is documented in the Decision Log (DEC-001).</w:t>
      </w:r>
    </w:p>
    <w:p>
      <w:pPr>
        <w:pStyle w:val="Heading2"/>
        <w:pBdr>
          <w:bottom w:val="single" w:color="2E75B6" w:sz="4" w:space="1"/>
        </w:pBdr>
        <w:spacing w:before="280" w:after="80"/>
      </w:pPr>
      <w:r>
        <w:rPr>
          <w:rFonts w:ascii="Arial" w:cs="Arial" w:eastAsia="Arial" w:hAnsi="Arial"/>
          <w:b/>
          <w:bCs/>
          <w:color w:val="2E75B6"/>
          <w:sz w:val="26"/>
          <w:szCs w:val="26"/>
        </w:rPr>
        <w:t xml:space="preserve">Observable Filtering</w:t>
      </w:r>
    </w:p>
    <w:p>
      <w:pPr>
        <w:spacing w:before="60" w:after="60"/>
      </w:pPr>
      <w:r>
        <w:rPr>
          <w:rFonts w:ascii="Arial" w:cs="Arial" w:eastAsia="Arial" w:hAnsi="Arial"/>
          <w:color w:val="000000"/>
          <w:sz w:val="20"/>
          <w:szCs w:val="20"/>
        </w:rPr>
        <w:t xml:space="preserve">The connector retrieves the full object list from the Case-Rfi and filters client-side for entity_type in {IPv4-Addr, IPv6-Addr}. Client-side filtering is required because case_rfi.read() in OpenCTI 6.9.13 does not support server-side entity type filtering on the objects list.</w:t>
      </w:r>
    </w:p>
    <w:p>
      <w:pPr>
        <w:pStyle w:val="Heading2"/>
        <w:pBdr>
          <w:bottom w:val="single" w:color="2E75B6" w:sz="4" w:space="1"/>
        </w:pBdr>
        <w:spacing w:before="280" w:after="80"/>
      </w:pPr>
      <w:r>
        <w:rPr>
          <w:rFonts w:ascii="Arial" w:cs="Arial" w:eastAsia="Arial" w:hAnsi="Arial"/>
          <w:b/>
          <w:bCs/>
          <w:color w:val="2E75B6"/>
          <w:sz w:val="26"/>
          <w:szCs w:val="26"/>
        </w:rPr>
        <w:t xml:space="preserve">Processing Order</w:t>
      </w:r>
    </w:p>
    <w:p>
      <w:pPr>
        <w:spacing w:before="60" w:after="60"/>
      </w:pPr>
      <w:r>
        <w:rPr>
          <w:rFonts w:ascii="Arial" w:cs="Arial" w:eastAsia="Arial" w:hAnsi="Arial"/>
          <w:color w:val="000000"/>
          <w:sz w:val="20"/>
          <w:szCs w:val="20"/>
        </w:rPr>
        <w:t xml:space="preserve">Observables are processed sequentially. Each IP is fully enriched before the next begins. This avoids race conditions in the worker pipeline and produces predictable log output. See DEC-009 in the Decision Log.</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4. Enrichment Output</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Score Update</w:t>
      </w:r>
    </w:p>
    <w:p>
      <w:pPr>
        <w:spacing w:before="60" w:after="60"/>
      </w:pPr>
      <w:r>
        <w:rPr>
          <w:rFonts w:ascii="Arial" w:cs="Arial" w:eastAsia="Arial" w:hAnsi="Arial"/>
          <w:color w:val="000000"/>
          <w:sz w:val="20"/>
          <w:szCs w:val="20"/>
        </w:rPr>
        <w:t xml:space="preserve">The observable's x_opencti_score field is updated to the Synthient ip_risk value (0-100). This field is the platform-standard risk score and is surfaced in the observable tile, used in scoring rules, and queryable via filters. Score 0 does not mean the IP is benign — it means Synthient has not classified it as a proxy or anonymization endpoint within the lookback window.</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Note (type: analysis)</w:t>
      </w:r>
    </w:p>
    <w:p>
      <w:pPr>
        <w:spacing w:before="60" w:after="60"/>
      </w:pPr>
      <w:r>
        <w:rPr>
          <w:rFonts w:ascii="Arial" w:cs="Arial" w:eastAsia="Arial" w:hAnsi="Arial"/>
          <w:color w:val="000000"/>
          <w:sz w:val="20"/>
          <w:szCs w:val="20"/>
        </w:rPr>
        <w:t xml:space="preserve">A structured Note is created and linked to the observable. The Note is the primary analytical output of the connector and contains:</w:t>
      </w:r>
    </w:p>
    <w:p>
      <w:pPr>
        <w:pStyle w:val="ListParagraph"/>
        <w:numPr>
          <w:ilvl w:val="0"/>
          <w:numId w:val="2"/>
        </w:numPr>
        <w:spacing w:before="40" w:after="40"/>
      </w:pPr>
      <w:r>
        <w:rPr>
          <w:rFonts w:ascii="Arial" w:cs="Arial" w:eastAsia="Arial" w:hAnsi="Arial"/>
          <w:color w:val="000000"/>
          <w:sz w:val="20"/>
          <w:szCs w:val="20"/>
        </w:rPr>
        <w:t xml:space="preserve">Risk score, proxy/VPN categories, behavioral flags</w:t>
      </w:r>
    </w:p>
    <w:p>
      <w:pPr>
        <w:pStyle w:val="ListParagraph"/>
        <w:numPr>
          <w:ilvl w:val="0"/>
          <w:numId w:val="2"/>
        </w:numPr>
        <w:spacing w:before="40" w:after="40"/>
      </w:pPr>
      <w:r>
        <w:rPr>
          <w:rFonts w:ascii="Arial" w:cs="Arial" w:eastAsia="Arial" w:hAnsi="Arial"/>
          <w:color w:val="000000"/>
          <w:sz w:val="20"/>
          <w:szCs w:val="20"/>
        </w:rPr>
        <w:t xml:space="preserve">Network block: ASN number, ISP, org name, network type, connection type</w:t>
      </w:r>
    </w:p>
    <w:p>
      <w:pPr>
        <w:pStyle w:val="ListParagraph"/>
        <w:numPr>
          <w:ilvl w:val="0"/>
          <w:numId w:val="2"/>
        </w:numPr>
        <w:spacing w:before="40" w:after="40"/>
      </w:pPr>
      <w:r>
        <w:rPr>
          <w:rFonts w:ascii="Arial" w:cs="Arial" w:eastAsia="Arial" w:hAnsi="Arial"/>
          <w:color w:val="000000"/>
          <w:sz w:val="20"/>
          <w:szCs w:val="20"/>
        </w:rPr>
        <w:t xml:space="preserve">Location block: country code, region, city, timezone</w:t>
      </w:r>
    </w:p>
    <w:p>
      <w:pPr>
        <w:pStyle w:val="ListParagraph"/>
        <w:numPr>
          <w:ilvl w:val="0"/>
          <w:numId w:val="2"/>
        </w:numPr>
        <w:spacing w:before="40" w:after="40"/>
      </w:pPr>
      <w:r>
        <w:rPr>
          <w:rFonts w:ascii="Arial" w:cs="Arial" w:eastAsia="Arial" w:hAnsi="Arial"/>
          <w:color w:val="000000"/>
          <w:sz w:val="20"/>
          <w:szCs w:val="20"/>
        </w:rPr>
        <w:t xml:space="preserve">Enriched Providers: third-party feed hits with provider, type, and last-seen date</w:t>
      </w:r>
    </w:p>
    <w:p>
      <w:pPr>
        <w:pStyle w:val="ListParagraph"/>
        <w:numPr>
          <w:ilvl w:val="0"/>
          <w:numId w:val="2"/>
        </w:numPr>
        <w:spacing w:before="40" w:after="40"/>
      </w:pPr>
      <w:r>
        <w:rPr>
          <w:rFonts w:ascii="Arial" w:cs="Arial" w:eastAsia="Arial" w:hAnsi="Arial"/>
          <w:color w:val="000000"/>
          <w:sz w:val="20"/>
          <w:szCs w:val="20"/>
        </w:rPr>
        <w:t xml:space="preserve">Device fingerprints: unique device count and OS/version list</w:t>
      </w:r>
    </w:p>
    <w:p>
      <w:pPr>
        <w:pStyle w:val="ListParagraph"/>
        <w:numPr>
          <w:ilvl w:val="0"/>
          <w:numId w:val="2"/>
        </w:numPr>
        <w:spacing w:before="40" w:after="40"/>
      </w:pPr>
      <w:r>
        <w:rPr>
          <w:rFonts w:ascii="Arial" w:cs="Arial" w:eastAsia="Arial" w:hAnsi="Arial"/>
          <w:color w:val="000000"/>
          <w:sz w:val="20"/>
          <w:szCs w:val="20"/>
        </w:rPr>
        <w:t xml:space="preserve">Lookback window: configured SYNTHIENT_DAYS value for context</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AutonomousSystem Entity</w:t>
      </w:r>
    </w:p>
    <w:p>
      <w:pPr>
        <w:spacing w:before="60" w:after="60"/>
      </w:pPr>
      <w:r>
        <w:rPr>
          <w:rFonts w:ascii="Arial" w:cs="Arial" w:eastAsia="Arial" w:hAnsi="Arial"/>
          <w:color w:val="000000"/>
          <w:sz w:val="20"/>
          <w:szCs w:val="20"/>
        </w:rPr>
        <w:t xml:space="preserve">An AutonomousSystem SCO is created (or deduplicated) for the ASN. The entity uses a deterministic STIX ID derived from the AS number, ensuring the same ASN maps to the same graph node across multiple enrichment runs.</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belongs-to Relationship</w:t>
      </w:r>
    </w:p>
    <w:p>
      <w:pPr>
        <w:spacing w:before="60" w:after="60"/>
      </w:pPr>
      <w:r>
        <w:rPr>
          <w:rFonts w:ascii="Arial" w:cs="Arial" w:eastAsia="Arial" w:hAnsi="Arial"/>
          <w:color w:val="000000"/>
          <w:sz w:val="20"/>
          <w:szCs w:val="20"/>
        </w:rPr>
        <w:t xml:space="preserve">IPv4-Addr -&gt; belongs-to -&gt; Autonomous System. Deterministic relationship ID ensures deduplication across runs.</w:t>
      </w:r>
    </w:p>
    <w:p>
      <w:pPr>
        <w:spacing w:before="60" w:after="60"/>
      </w:pPr>
      <w:r>
        <w:rPr>
          <w:rFonts w:ascii="Arial" w:cs="Arial" w:eastAsia="Arial" w:hAnsi="Arial"/>
          <w:color w:val="000000"/>
          <w:sz w:val="20"/>
          <w:szCs w:val="20"/>
        </w:rPr>
        <w:t xml:space="preserve">Description format: "{IP} belongs to AS{N} ({ISP}) per Synthient enrichment."</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Organization Entity</w:t>
      </w:r>
    </w:p>
    <w:p>
      <w:pPr>
        <w:spacing w:before="60" w:after="60"/>
      </w:pPr>
      <w:r>
        <w:rPr>
          <w:rFonts w:ascii="Arial" w:cs="Arial" w:eastAsia="Arial" w:hAnsi="Arial"/>
          <w:color w:val="000000"/>
          <w:sz w:val="20"/>
          <w:szCs w:val="20"/>
        </w:rPr>
        <w:t xml:space="preserve">An Organization Identity is created (or deduplicated) for the network operator. The org name is taken from network.org, falling back to network.isp if org is null. identity.create() is idempotent by name.</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related-to Relationship</w:t>
      </w:r>
    </w:p>
    <w:p>
      <w:pPr>
        <w:spacing w:before="60" w:after="60"/>
      </w:pPr>
      <w:r>
        <w:rPr>
          <w:rFonts w:ascii="Arial" w:cs="Arial" w:eastAsia="Arial" w:hAnsi="Arial"/>
          <w:color w:val="000000"/>
          <w:sz w:val="20"/>
          <w:szCs w:val="20"/>
        </w:rPr>
        <w:t xml:space="preserve">Autonomous System -&gt; related-to -&gt; Organization. Deterministic relationship ID.</w:t>
      </w:r>
    </w:p>
    <w:p>
      <w:pPr>
        <w:spacing w:before="60" w:after="60"/>
      </w:pPr>
      <w:r>
        <w:rPr>
          <w:rFonts w:ascii="Arial" w:cs="Arial" w:eastAsia="Arial" w:hAnsi="Arial"/>
          <w:color w:val="000000"/>
          <w:sz w:val="20"/>
          <w:szCs w:val="20"/>
        </w:rPr>
        <w:t xml:space="preserve">Description format: "AS{N} operated by {org} per Synthient enrichment."</w:t>
      </w:r>
    </w:p>
    <w:p>
      <w:pPr>
        <w:pStyle w:val="Heading2"/>
        <w:pBdr>
          <w:bottom w:val="single" w:color="2E75B6" w:sz="4" w:space="1"/>
        </w:pBdr>
        <w:spacing w:before="280" w:after="80"/>
      </w:pPr>
      <w:r>
        <w:rPr>
          <w:rFonts w:ascii="Arial" w:cs="Arial" w:eastAsia="Arial" w:hAnsi="Arial"/>
          <w:b/>
          <w:bCs/>
          <w:color w:val="2E75B6"/>
          <w:sz w:val="26"/>
          <w:szCs w:val="26"/>
        </w:rPr>
        <w:t xml:space="preserve">Per Observable: located-at Relationship</w:t>
      </w:r>
    </w:p>
    <w:p>
      <w:pPr>
        <w:spacing w:before="60" w:after="60"/>
      </w:pPr>
      <w:r>
        <w:rPr>
          <w:rFonts w:ascii="Arial" w:cs="Arial" w:eastAsia="Arial" w:hAnsi="Arial"/>
          <w:color w:val="000000"/>
          <w:sz w:val="20"/>
          <w:szCs w:val="20"/>
        </w:rPr>
        <w:t xml:space="preserve">IPv4-Addr -&gt; located-at -&gt; Country. Only created if a matching Country entity is found. Countries are never created — only looked up. See Section 10 for the full resolution strategy.</w:t>
      </w:r>
    </w:p>
    <w:p>
      <w:pPr>
        <w:spacing w:before="60" w:after="60"/>
      </w:pPr>
      <w:r>
        <w:rPr>
          <w:rFonts w:ascii="Arial" w:cs="Arial" w:eastAsia="Arial" w:hAnsi="Arial"/>
          <w:color w:val="000000"/>
          <w:sz w:val="20"/>
          <w:szCs w:val="20"/>
        </w:rPr>
        <w:t xml:space="preserve">Description format: "{IP} geolocated to {country_name} ({country_code}) per Synthient enrichment."</w:t>
      </w:r>
    </w:p>
    <w:p>
      <w:pPr>
        <w:pStyle w:val="Heading2"/>
        <w:pBdr>
          <w:bottom w:val="single" w:color="2E75B6" w:sz="4" w:space="1"/>
        </w:pBdr>
        <w:spacing w:before="280" w:after="80"/>
      </w:pPr>
      <w:r>
        <w:rPr>
          <w:rFonts w:ascii="Arial" w:cs="Arial" w:eastAsia="Arial" w:hAnsi="Arial"/>
          <w:b/>
          <w:bCs/>
          <w:color w:val="2E75B6"/>
          <w:sz w:val="26"/>
          <w:szCs w:val="26"/>
        </w:rPr>
        <w:t xml:space="preserve">Container Membership</w:t>
      </w:r>
    </w:p>
    <w:p>
      <w:pPr>
        <w:spacing w:before="60" w:after="60"/>
      </w:pPr>
      <w:r>
        <w:rPr>
          <w:rFonts w:ascii="Arial" w:cs="Arial" w:eastAsia="Arial" w:hAnsi="Arial"/>
          <w:color w:val="000000"/>
          <w:sz w:val="20"/>
          <w:szCs w:val="20"/>
        </w:rPr>
        <w:t xml:space="preserve">After all observables are processed, every created object and relationship internal UUID is bulk-added to the triggering RFI container in a single pass at the end of the run.</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5. Data Model</w:t>
      </w:r>
    </w:p>
    <w:p>
      <w:pPr>
        <w:pStyle w:val="Heading2"/>
        <w:pBdr>
          <w:bottom w:val="single" w:color="2E75B6" w:sz="4" w:space="1"/>
        </w:pBdr>
        <w:spacing w:before="280" w:after="80"/>
      </w:pPr>
      <w:r>
        <w:rPr>
          <w:rFonts w:ascii="Arial" w:cs="Arial" w:eastAsia="Arial" w:hAnsi="Arial"/>
          <w:b/>
          <w:bCs/>
          <w:color w:val="2E75B6"/>
          <w:sz w:val="26"/>
          <w:szCs w:val="26"/>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Entity</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Entity</w:t>
            </w:r>
          </w:p>
        </w:tc>
        <w:tc>
          <w:tcPr>
            <w:tcW w:type="dxa" w:w="2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Guide Confirmed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IPv4-Addr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belongs-to</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Autonomous System</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IPv6-Addr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belongs-to</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Autonomous System</w:t>
            </w:r>
          </w:p>
        </w:tc>
        <w:tc>
          <w:tcPr>
            <w:tcW w:type="dxa" w:w="2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Autonomous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related-to</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Organization</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IPv4-Addr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located-at</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Country</w:t>
            </w:r>
          </w:p>
        </w:tc>
        <w:tc>
          <w:tcPr>
            <w:tcW w:type="dxa" w:w="2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IPv6-Addr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located-at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Country</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Entity Types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Entity Type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STIX 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Creation Method</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Idempotent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AutonomousSystem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STIX bundle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(deterministic STIX ID)</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Organization (Identity)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SDO</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Direct API</w:t>
            </w:r>
          </w:p>
        </w:tc>
        <w:tc>
          <w:tcPr>
            <w:tcW w:type="dxa" w:w="3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 (name-based)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OpenCTI object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Direct API</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 new Note per run</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Entity Types Read (Never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Entity Type</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Country (Location)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of located-at relationship</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Marking Definition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TLP marking applied to all created objects</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Indicators</w:t>
      </w:r>
    </w:p>
    <w:p>
      <w:pPr>
        <w:spacing w:before="60" w:after="60"/>
      </w:pPr>
      <w:r>
        <w:rPr>
          <w:rFonts w:ascii="Arial" w:cs="Arial" w:eastAsia="Arial" w:hAnsi="Arial"/>
          <w:color w:val="000000"/>
          <w:sz w:val="20"/>
          <w:szCs w:val="20"/>
        </w:rPr>
        <w:t xml:space="preserve">This connector does not create Indicators. IP observables remain observables. OpenCTI's automated indicator generation pipeline handles Indicator creation according to platform detection rules.</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6. Architecture and Processing Pipeline</w:t>
      </w:r>
    </w:p>
    <w:p>
      <w:pPr>
        <w:pStyle w:val="Heading2"/>
        <w:pBdr>
          <w:bottom w:val="single" w:color="2E75B6" w:sz="4" w:space="1"/>
        </w:pBdr>
        <w:spacing w:before="280" w:after="80"/>
      </w:pPr>
      <w:r>
        <w:rPr>
          <w:rFonts w:ascii="Arial" w:cs="Arial" w:eastAsia="Arial" w:hAnsi="Arial"/>
          <w:b/>
          <w:bCs/>
          <w:color w:val="2E75B6"/>
          <w:sz w:val="26"/>
          <w:szCs w:val="26"/>
        </w:rPr>
        <w:t xml:space="preserve">High-Level Flow</w:t>
      </w:r>
    </w:p>
    <w:p>
      <w:pPr>
        <w:shd w:fill="F4F4F4" w:val="clear"/>
        <w:spacing w:before="40" w:after="40"/>
        <w:ind w:left="480"/>
      </w:pPr>
      <w:r>
        <w:rPr>
          <w:rFonts w:ascii="Courier New" w:cs="Courier New" w:eastAsia="Courier New" w:hAnsi="Courier New"/>
          <w:color w:val="333333"/>
          <w:sz w:val="18"/>
          <w:szCs w:val="18"/>
        </w:rPr>
        <w:t xml:space="preserve">Analyst triggers enrichment on Case-Rfi</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v</w:t>
      </w:r>
    </w:p>
    <w:p>
      <w:pPr>
        <w:shd w:fill="F4F4F4" w:val="clear"/>
        <w:spacing w:before="40" w:after="40"/>
        <w:ind w:left="480"/>
      </w:pPr>
      <w:r>
        <w:rPr>
          <w:rFonts w:ascii="Courier New" w:cs="Courier New" w:eastAsia="Courier New" w:hAnsi="Courier New"/>
          <w:color w:val="333333"/>
          <w:sz w:val="18"/>
          <w:szCs w:val="18"/>
        </w:rPr>
        <w:t xml:space="preserve">OpenCTI delivers message via RabbitMQ</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v</w:t>
      </w:r>
    </w:p>
    <w:p>
      <w:pPr>
        <w:shd w:fill="F4F4F4" w:val="clear"/>
        <w:spacing w:before="40" w:after="40"/>
        <w:ind w:left="480"/>
      </w:pPr>
      <w:r>
        <w:rPr>
          <w:rFonts w:ascii="Courier New" w:cs="Courier New" w:eastAsia="Courier New" w:hAnsi="Courier New"/>
          <w:color w:val="333333"/>
          <w:sz w:val="18"/>
          <w:szCs w:val="18"/>
        </w:rPr>
        <w:t xml:space="preserve">_process_message() -&gt; _process_rfi()</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 _get_rfi_observables()    Retrieve + filter IP observables</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 for each observable:</w:t>
      </w:r>
    </w:p>
    <w:p>
      <w:pPr>
        <w:shd w:fill="F4F4F4" w:val="clear"/>
        <w:spacing w:before="40" w:after="40"/>
        <w:ind w:left="480"/>
      </w:pPr>
      <w:r>
        <w:rPr>
          <w:rFonts w:ascii="Courier New" w:cs="Courier New" w:eastAsia="Courier New" w:hAnsi="Courier New"/>
          <w:color w:val="333333"/>
          <w:sz w:val="18"/>
          <w:szCs w:val="18"/>
        </w:rPr>
        <w:t xml:space="preserve">        |-- _lookup_ip()         Synthient API call with backoff</w:t>
      </w:r>
    </w:p>
    <w:p>
      <w:pPr>
        <w:shd w:fill="F4F4F4" w:val="clear"/>
        <w:spacing w:before="40" w:after="40"/>
        <w:ind w:left="480"/>
      </w:pPr>
      <w:r>
        <w:rPr>
          <w:rFonts w:ascii="Courier New" w:cs="Courier New" w:eastAsia="Courier New" w:hAnsi="Courier New"/>
          <w:color w:val="333333"/>
          <w:sz w:val="18"/>
          <w:szCs w:val="18"/>
        </w:rPr>
        <w:t xml:space="preserve">        +-- _enrich_observable()</w:t>
      </w:r>
    </w:p>
    <w:p>
      <w:pPr>
        <w:shd w:fill="F4F4F4" w:val="clear"/>
        <w:spacing w:before="40" w:after="40"/>
        <w:ind w:left="480"/>
      </w:pPr>
      <w:r>
        <w:rPr>
          <w:rFonts w:ascii="Courier New" w:cs="Courier New" w:eastAsia="Courier New" w:hAnsi="Courier New"/>
          <w:color w:val="333333"/>
          <w:sz w:val="18"/>
          <w:szCs w:val="18"/>
        </w:rPr>
        <w:t xml:space="preserve">              |-- update_field()           Score update (direct API)</w:t>
      </w:r>
    </w:p>
    <w:p>
      <w:pPr>
        <w:shd w:fill="F4F4F4" w:val="clear"/>
        <w:spacing w:before="40" w:after="40"/>
        <w:ind w:left="480"/>
      </w:pPr>
      <w:r>
        <w:rPr>
          <w:rFonts w:ascii="Courier New" w:cs="Courier New" w:eastAsia="Courier New" w:hAnsi="Courier New"/>
          <w:color w:val="333333"/>
          <w:sz w:val="18"/>
          <w:szCs w:val="18"/>
        </w:rPr>
        <w:t xml:space="preserve">              |-- note.create()            Note (direct API)</w:t>
      </w:r>
    </w:p>
    <w:p>
      <w:pPr>
        <w:shd w:fill="F4F4F4" w:val="clear"/>
        <w:spacing w:before="40" w:after="40"/>
        <w:ind w:left="480"/>
      </w:pPr>
      <w:r>
        <w:rPr>
          <w:rFonts w:ascii="Courier New" w:cs="Courier New" w:eastAsia="Courier New" w:hAnsi="Courier New"/>
          <w:color w:val="333333"/>
          <w:sz w:val="18"/>
          <w:szCs w:val="18"/>
        </w:rPr>
        <w:t xml:space="preserve">              |-- send_stix2_bundle        ASN + belongs-to</w:t>
      </w:r>
    </w:p>
    <w:p>
      <w:pPr>
        <w:shd w:fill="F4F4F4" w:val="clear"/>
        <w:spacing w:before="40" w:after="40"/>
        <w:ind w:left="480"/>
      </w:pPr>
      <w:r>
        <w:rPr>
          <w:rFonts w:ascii="Courier New" w:cs="Courier New" w:eastAsia="Courier New" w:hAnsi="Courier New"/>
          <w:color w:val="333333"/>
          <w:sz w:val="18"/>
          <w:szCs w:val="18"/>
        </w:rPr>
        <w:t xml:space="preserve">              |     +-- _resolve_observable_id()  Poll ASN internal ID</w:t>
      </w:r>
    </w:p>
    <w:p>
      <w:pPr>
        <w:shd w:fill="F4F4F4" w:val="clear"/>
        <w:spacing w:before="40" w:after="40"/>
        <w:ind w:left="480"/>
      </w:pPr>
      <w:r>
        <w:rPr>
          <w:rFonts w:ascii="Courier New" w:cs="Courier New" w:eastAsia="Courier New" w:hAnsi="Courier New"/>
          <w:color w:val="333333"/>
          <w:sz w:val="18"/>
          <w:szCs w:val="18"/>
        </w:rPr>
        <w:t xml:space="preserve">              |     +-- _resolve_rel_id()         Poll rel internal ID</w:t>
      </w:r>
    </w:p>
    <w:p>
      <w:pPr>
        <w:shd w:fill="F4F4F4" w:val="clear"/>
        <w:spacing w:before="40" w:after="40"/>
        <w:ind w:left="480"/>
      </w:pPr>
      <w:r>
        <w:rPr>
          <w:rFonts w:ascii="Courier New" w:cs="Courier New" w:eastAsia="Courier New" w:hAnsi="Courier New"/>
          <w:color w:val="333333"/>
          <w:sz w:val="18"/>
          <w:szCs w:val="18"/>
        </w:rPr>
        <w:t xml:space="preserve">              |-- identity.create()        Organization (direct API)</w:t>
      </w:r>
    </w:p>
    <w:p>
      <w:pPr>
        <w:shd w:fill="F4F4F4" w:val="clear"/>
        <w:spacing w:before="40" w:after="40"/>
        <w:ind w:left="480"/>
      </w:pPr>
      <w:r>
        <w:rPr>
          <w:rFonts w:ascii="Courier New" w:cs="Courier New" w:eastAsia="Courier New" w:hAnsi="Courier New"/>
          <w:color w:val="333333"/>
          <w:sz w:val="18"/>
          <w:szCs w:val="18"/>
        </w:rPr>
        <w:t xml:space="preserve">              |-- send_stix2_bundle        ASN-&gt;Org related-to</w:t>
      </w:r>
    </w:p>
    <w:p>
      <w:pPr>
        <w:shd w:fill="F4F4F4" w:val="clear"/>
        <w:spacing w:before="40" w:after="40"/>
        <w:ind w:left="480"/>
      </w:pPr>
      <w:r>
        <w:rPr>
          <w:rFonts w:ascii="Courier New" w:cs="Courier New" w:eastAsia="Courier New" w:hAnsi="Courier New"/>
          <w:color w:val="333333"/>
          <w:sz w:val="18"/>
          <w:szCs w:val="18"/>
        </w:rPr>
        <w:t xml:space="preserve">              |     +-- _resolve_rel_id()         Poll rel internal ID</w:t>
      </w:r>
    </w:p>
    <w:p>
      <w:pPr>
        <w:shd w:fill="F4F4F4" w:val="clear"/>
        <w:spacing w:before="40" w:after="40"/>
        <w:ind w:left="480"/>
      </w:pPr>
      <w:r>
        <w:rPr>
          <w:rFonts w:ascii="Courier New" w:cs="Courier New" w:eastAsia="Courier New" w:hAnsi="Courier New"/>
          <w:color w:val="333333"/>
          <w:sz w:val="18"/>
          <w:szCs w:val="18"/>
        </w:rPr>
        <w:t xml:space="preserve">              |-- location.read()          Country lookup (read-only)</w:t>
      </w:r>
    </w:p>
    <w:p>
      <w:pPr>
        <w:shd w:fill="F4F4F4" w:val="clear"/>
        <w:spacing w:before="40" w:after="40"/>
        <w:ind w:left="480"/>
      </w:pPr>
      <w:r>
        <w:rPr>
          <w:rFonts w:ascii="Courier New" w:cs="Courier New" w:eastAsia="Courier New" w:hAnsi="Courier New"/>
          <w:color w:val="333333"/>
          <w:sz w:val="18"/>
          <w:szCs w:val="18"/>
        </w:rPr>
        <w:t xml:space="preserve">              +-- send_stix2_bundle        located-at</w:t>
      </w:r>
    </w:p>
    <w:p>
      <w:pPr>
        <w:shd w:fill="F4F4F4" w:val="clear"/>
        <w:spacing w:before="40" w:after="40"/>
        <w:ind w:left="480"/>
      </w:pPr>
      <w:r>
        <w:rPr>
          <w:rFonts w:ascii="Courier New" w:cs="Courier New" w:eastAsia="Courier New" w:hAnsi="Courier New"/>
          <w:color w:val="333333"/>
          <w:sz w:val="18"/>
          <w:szCs w:val="18"/>
        </w:rPr>
        <w:t xml:space="preserve">                    +-- _resolve_rel_id()         Poll rel internal ID</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v</w:t>
      </w:r>
    </w:p>
    <w:p>
      <w:pPr>
        <w:shd w:fill="F4F4F4" w:val="clear"/>
        <w:spacing w:before="40" w:after="40"/>
        <w:ind w:left="480"/>
      </w:pPr>
      <w:r>
        <w:rPr>
          <w:rFonts w:ascii="Courier New" w:cs="Courier New" w:eastAsia="Courier New" w:hAnsi="Courier New"/>
          <w:color w:val="333333"/>
          <w:sz w:val="18"/>
          <w:szCs w:val="18"/>
        </w:rPr>
        <w:t xml:space="preserve">Bulk add all collected UUIDs to RFI container</w:t>
      </w:r>
    </w:p>
    <w:p>
      <w:pPr>
        <w:shd w:fill="F4F4F4" w:val="clear"/>
        <w:spacing w:before="40" w:after="40"/>
        <w:ind w:left="480"/>
      </w:pPr>
      <w:r>
        <w:rPr>
          <w:rFonts w:ascii="Courier New" w:cs="Courier New" w:eastAsia="Courier New" w:hAnsi="Courier New"/>
          <w:color w:val="333333"/>
          <w:sz w:val="18"/>
          <w:szCs w:val="18"/>
        </w:rPr>
        <w:t xml:space="preserve">  |</w:t>
      </w:r>
    </w:p>
    <w:p>
      <w:pPr>
        <w:shd w:fill="F4F4F4" w:val="clear"/>
        <w:spacing w:before="40" w:after="40"/>
        <w:ind w:left="480"/>
      </w:pPr>
      <w:r>
        <w:rPr>
          <w:rFonts w:ascii="Courier New" w:cs="Courier New" w:eastAsia="Courier New" w:hAnsi="Courier New"/>
          <w:color w:val="333333"/>
          <w:sz w:val="18"/>
          <w:szCs w:val="18"/>
        </w:rPr>
        <w:t xml:space="preserve">  v</w:t>
      </w:r>
    </w:p>
    <w:p>
      <w:pPr>
        <w:shd w:fill="F4F4F4" w:val="clear"/>
        <w:spacing w:before="40" w:after="40"/>
        <w:ind w:left="480"/>
      </w:pPr>
      <w:r>
        <w:rPr>
          <w:rFonts w:ascii="Courier New" w:cs="Courier New" w:eastAsia="Courier New" w:hAnsi="Courier New"/>
          <w:color w:val="333333"/>
          <w:sz w:val="18"/>
          <w:szCs w:val="18"/>
        </w:rPr>
        <w:t xml:space="preserve">Report work completion to OpenCTI</w:t>
      </w:r>
    </w:p>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Bundle vs Direct API</w:t>
      </w:r>
    </w:p>
    <w:p>
      <w:pPr>
        <w:spacing w:before="60" w:after="60"/>
      </w:pPr>
      <w:r>
        <w:rPr>
          <w:rFonts w:ascii="Arial" w:cs="Arial" w:eastAsia="Arial" w:hAnsi="Arial"/>
          <w:color w:val="000000"/>
          <w:sz w:val="20"/>
          <w:szCs w:val="20"/>
        </w:rPr>
        <w:t xml:space="preserve">OpenCTI 6.9.13 requires SCOs to be created through the STIX bundle worker pipeline. Direct API calls for SCO creation are not supported. This applies to AutonomousSystem. All STIX Core Relationships also go through the bundle pipeline.</w:t>
      </w:r>
    </w:p>
    <w:p>
      <w:pPr>
        <w:spacing w:before="60" w:after="60"/>
      </w:pPr>
      <w:r>
        <w:rPr>
          <w:rFonts w:ascii="Arial" w:cs="Arial" w:eastAsia="Arial" w:hAnsi="Arial"/>
          <w:color w:val="000000"/>
          <w:sz w:val="20"/>
          <w:szCs w:val="20"/>
        </w:rPr>
        <w:t xml:space="preserve">Direct API calls are used for: Notes, Organization Identity creation, score updates, and read operations.</w:t>
      </w:r>
    </w:p>
    <w:p>
      <w:pPr>
        <w:pStyle w:val="Heading2"/>
        <w:pBdr>
          <w:bottom w:val="single" w:color="2E75B6" w:sz="4" w:space="1"/>
        </w:pBdr>
        <w:spacing w:before="280" w:after="80"/>
      </w:pPr>
      <w:r>
        <w:rPr>
          <w:rFonts w:ascii="Arial" w:cs="Arial" w:eastAsia="Arial" w:hAnsi="Arial"/>
          <w:b/>
          <w:bCs/>
          <w:color w:val="2E75B6"/>
          <w:sz w:val="26"/>
          <w:szCs w:val="26"/>
        </w:rPr>
        <w:t xml:space="preserve">Asynchronous Worker Pattern</w:t>
      </w:r>
    </w:p>
    <w:p>
      <w:pPr>
        <w:spacing w:before="60" w:after="60"/>
      </w:pPr>
      <w:r>
        <w:rPr>
          <w:rFonts w:ascii="Arial" w:cs="Arial" w:eastAsia="Arial" w:hAnsi="Arial"/>
          <w:color w:val="000000"/>
          <w:sz w:val="20"/>
          <w:szCs w:val="20"/>
        </w:rPr>
        <w:t xml:space="preserve">STIX bundle processing is asynchronous. After send_stix2_bundle() returns, the bundle is queued and internal UUIDs are not available until the worker commits the objects. The connector polls for internal IDs after each bundle send.</w:t>
      </w:r>
    </w:p>
    <w:p>
      <w:pPr>
        <w:spacing w:before="60" w:after="60"/>
      </w:pPr>
      <w:r>
        <w:rPr>
          <w:rFonts w:ascii="Arial" w:cs="Arial" w:eastAsia="Arial" w:hAnsi="Arial"/>
          <w:color w:val="000000"/>
          <w:sz w:val="20"/>
          <w:szCs w:val="20"/>
        </w:rPr>
        <w:t xml:space="preserve">Default polling parameters: 6 retries x 3 seconds = up to 18 seconds maximum wait per object.</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7. Deduplication Strategy</w:t>
      </w:r>
    </w:p>
    <w:p>
      <w:pPr>
        <w:pStyle w:val="Heading2"/>
        <w:pBdr>
          <w:bottom w:val="single" w:color="2E75B6" w:sz="4" w:space="1"/>
        </w:pBdr>
        <w:spacing w:before="280" w:after="80"/>
      </w:pPr>
      <w:r>
        <w:rPr>
          <w:rFonts w:ascii="Arial" w:cs="Arial" w:eastAsia="Arial" w:hAnsi="Arial"/>
          <w:b/>
          <w:bCs/>
          <w:color w:val="2E75B6"/>
          <w:sz w:val="26"/>
          <w:szCs w:val="26"/>
        </w:rPr>
        <w:t xml:space="preserve">AutonomousSystem</w:t>
      </w:r>
    </w:p>
    <w:p>
      <w:pPr>
        <w:spacing w:before="60" w:after="60"/>
      </w:pPr>
      <w:r>
        <w:rPr>
          <w:rFonts w:ascii="Arial" w:cs="Arial" w:eastAsia="Arial" w:hAnsi="Arial"/>
          <w:color w:val="000000"/>
          <w:sz w:val="20"/>
          <w:szCs w:val="20"/>
        </w:rPr>
        <w:t xml:space="preserve">STIX ID is deterministic — derived from the number field by the stix2 library. The same AS number always produces the same STIX ID. The worker merges on the existing entity. No connector-level dedup logic required.</w:t>
      </w:r>
    </w:p>
    <w:p>
      <w:pPr>
        <w:pStyle w:val="Heading2"/>
        <w:pBdr>
          <w:bottom w:val="single" w:color="2E75B6" w:sz="4" w:space="1"/>
        </w:pBdr>
        <w:spacing w:before="280" w:after="80"/>
      </w:pPr>
      <w:r>
        <w:rPr>
          <w:rFonts w:ascii="Arial" w:cs="Arial" w:eastAsia="Arial" w:hAnsi="Arial"/>
          <w:b/>
          <w:bCs/>
          <w:color w:val="2E75B6"/>
          <w:sz w:val="26"/>
          <w:szCs w:val="26"/>
        </w:rPr>
        <w:t xml:space="preserve">Relationships</w:t>
      </w:r>
    </w:p>
    <w:p>
      <w:pPr>
        <w:spacing w:before="60" w:after="60"/>
      </w:pPr>
      <w:r>
        <w:rPr>
          <w:rFonts w:ascii="Arial" w:cs="Arial" w:eastAsia="Arial" w:hAnsi="Arial"/>
          <w:color w:val="000000"/>
          <w:sz w:val="20"/>
          <w:szCs w:val="20"/>
        </w:rPr>
        <w:t xml:space="preserve">Relationship STIX IDs are generated by StixCoreRelationship.generate_id(type, source_id, target_id). Deterministic from semantic identity. Re-enriching the same IP against the same ASN never creates a duplicate edge.</w:t>
      </w:r>
    </w:p>
    <w:p>
      <w:pPr>
        <w:pStyle w:val="Heading2"/>
        <w:pBdr>
          <w:bottom w:val="single" w:color="2E75B6" w:sz="4" w:space="1"/>
        </w:pBdr>
        <w:spacing w:before="280" w:after="80"/>
      </w:pPr>
      <w:r>
        <w:rPr>
          <w:rFonts w:ascii="Arial" w:cs="Arial" w:eastAsia="Arial" w:hAnsi="Arial"/>
          <w:b/>
          <w:bCs/>
          <w:color w:val="2E75B6"/>
          <w:sz w:val="26"/>
          <w:szCs w:val="26"/>
        </w:rPr>
        <w:t xml:space="preserve">Organization</w:t>
      </w:r>
    </w:p>
    <w:p>
      <w:pPr>
        <w:spacing w:before="60" w:after="60"/>
      </w:pPr>
      <w:r>
        <w:rPr>
          <w:rFonts w:ascii="Arial" w:cs="Arial" w:eastAsia="Arial" w:hAnsi="Arial"/>
          <w:color w:val="000000"/>
          <w:sz w:val="20"/>
          <w:szCs w:val="20"/>
        </w:rPr>
        <w:t xml:space="preserve">identity.create() is idempotent by name in pycti. Same name = existing record returned. Deduplication boundary is the exact name string — minor string variations may produce separate entities (see Known Limitations).</w:t>
      </w:r>
    </w:p>
    <w:p>
      <w:pPr>
        <w:pStyle w:val="Heading2"/>
        <w:pBdr>
          <w:bottom w:val="single" w:color="2E75B6" w:sz="4" w:space="1"/>
        </w:pBdr>
        <w:spacing w:before="280" w:after="80"/>
      </w:pPr>
      <w:r>
        <w:rPr>
          <w:rFonts w:ascii="Arial" w:cs="Arial" w:eastAsia="Arial" w:hAnsi="Arial"/>
          <w:b/>
          <w:bCs/>
          <w:color w:val="2E75B6"/>
          <w:sz w:val="26"/>
          <w:szCs w:val="26"/>
        </w:rPr>
        <w:t xml:space="preserve">Notes</w:t>
      </w:r>
    </w:p>
    <w:p>
      <w:pPr>
        <w:spacing w:before="60" w:after="60"/>
      </w:pPr>
      <w:r>
        <w:rPr>
          <w:rFonts w:ascii="Arial" w:cs="Arial" w:eastAsia="Arial" w:hAnsi="Arial"/>
          <w:color w:val="000000"/>
          <w:sz w:val="20"/>
          <w:szCs w:val="20"/>
        </w:rPr>
        <w:t xml:space="preserve">Notes are not deduplicated. Each enrichment run creates a new Note. This is intentional — Notes preserve the historical record of Synthient intelligence at each point in time. See DEC-006.</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8. Container Semantics</w:t>
      </w:r>
    </w:p>
    <w:p>
      <w:pPr>
        <w:pStyle w:val="Heading2"/>
        <w:pBdr>
          <w:bottom w:val="single" w:color="2E75B6" w:sz="4" w:space="1"/>
        </w:pBdr>
        <w:spacing w:before="280" w:after="80"/>
      </w:pPr>
      <w:r>
        <w:rPr>
          <w:rFonts w:ascii="Arial" w:cs="Arial" w:eastAsia="Arial" w:hAnsi="Arial"/>
          <w:b/>
          <w:bCs/>
          <w:color w:val="2E75B6"/>
          <w:sz w:val="26"/>
          <w:szCs w:val="26"/>
        </w:rPr>
        <w:t xml:space="preserve">Why Case-Rfi Only</w:t>
      </w:r>
    </w:p>
    <w:p>
      <w:pPr>
        <w:spacing w:before="60" w:after="60"/>
      </w:pPr>
      <w:r>
        <w:rPr>
          <w:rFonts w:ascii="Arial" w:cs="Arial" w:eastAsia="Arial" w:hAnsi="Arial"/>
          <w:color w:val="000000"/>
          <w:sz w:val="20"/>
          <w:szCs w:val="20"/>
        </w:rPr>
        <w:t xml:space="preserve">Case-Rfi is the platform's primary analyst investigation container. Report containers hold external intelligence assertions — enriching IPs within a Report would violate the provenance boundary between what an external source claims and what internal tools have assessed. Enriching against no container context would produce orphaned output.</w:t>
      </w:r>
    </w:p>
    <w:p>
      <w:pPr>
        <w:pStyle w:val="Heading2"/>
        <w:pBdr>
          <w:bottom w:val="single" w:color="2E75B6" w:sz="4" w:space="1"/>
        </w:pBdr>
        <w:spacing w:before="280" w:after="80"/>
      </w:pPr>
      <w:r>
        <w:rPr>
          <w:rFonts w:ascii="Arial" w:cs="Arial" w:eastAsia="Arial" w:hAnsi="Arial"/>
          <w:b/>
          <w:bCs/>
          <w:color w:val="2E75B6"/>
          <w:sz w:val="26"/>
          <w:szCs w:val="26"/>
        </w:rPr>
        <w:t xml:space="preserve">Containment Requirement</w:t>
      </w:r>
    </w:p>
    <w:p>
      <w:pPr>
        <w:spacing w:before="60" w:after="60"/>
      </w:pPr>
      <w:r>
        <w:rPr>
          <w:rFonts w:ascii="Arial" w:cs="Arial" w:eastAsia="Arial" w:hAnsi="Arial"/>
          <w:color w:val="000000"/>
          <w:sz w:val="20"/>
          <w:szCs w:val="20"/>
        </w:rPr>
        <w:t xml:space="preserve">Every object and relationship created by this connector is added to the triggering RFI. Enrichment output that is not containerized would be orphaned — ungoverned, unattributable, and invisible to analysts working the case.</w:t>
      </w:r>
    </w:p>
    <w:p>
      <w:pPr>
        <w:pStyle w:val="Heading2"/>
        <w:pBdr>
          <w:bottom w:val="single" w:color="2E75B6" w:sz="4" w:space="1"/>
        </w:pBdr>
        <w:spacing w:before="280" w:after="80"/>
      </w:pPr>
      <w:r>
        <w:rPr>
          <w:rFonts w:ascii="Arial" w:cs="Arial" w:eastAsia="Arial" w:hAnsi="Arial"/>
          <w:b/>
          <w:bCs/>
          <w:color w:val="2E75B6"/>
          <w:sz w:val="26"/>
          <w:szCs w:val="26"/>
        </w:rPr>
        <w:t xml:space="preserve">Container Add Mechanics</w:t>
      </w:r>
    </w:p>
    <w:p>
      <w:pPr>
        <w:spacing w:before="60" w:after="60"/>
      </w:pPr>
      <w:r>
        <w:rPr>
          <w:rFonts w:ascii="Arial" w:cs="Arial" w:eastAsia="Arial" w:hAnsi="Arial"/>
          <w:color w:val="000000"/>
          <w:sz w:val="20"/>
          <w:szCs w:val="20"/>
        </w:rPr>
        <w:t xml:space="preserve">The internal UUID must be used for add_stix_object_or_stix_relationship() — STIX IDs are not accepted. For bundle-created objects, the internal UUID is only available after worker processing, which is why polling resolution is required before the container-add phase.</w:t>
      </w:r>
    </w:p>
    <w:p>
      <w:pPr>
        <w:spacing w:before="60" w:after="60"/>
      </w:pPr>
      <w:r>
        <w:rPr>
          <w:rFonts w:ascii="Arial" w:cs="Arial" w:eastAsia="Arial" w:hAnsi="Arial"/>
          <w:color w:val="000000"/>
          <w:sz w:val="20"/>
          <w:szCs w:val="20"/>
        </w:rPr>
        <w:t xml:space="preserve">Container add operations are batched at the end of the run (not interleaved) to minimize API overhead.</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9. API Client Design</w:t>
      </w:r>
    </w:p>
    <w:p>
      <w:pPr>
        <w:pStyle w:val="Heading2"/>
        <w:pBdr>
          <w:bottom w:val="single" w:color="2E75B6" w:sz="4" w:space="1"/>
        </w:pBdr>
        <w:spacing w:before="280" w:after="80"/>
      </w:pPr>
      <w:r>
        <w:rPr>
          <w:rFonts w:ascii="Arial" w:cs="Arial" w:eastAsia="Arial" w:hAnsi="Arial"/>
          <w:b/>
          <w:bCs/>
          <w:color w:val="2E75B6"/>
          <w:sz w:val="26"/>
          <w:szCs w:val="26"/>
        </w:rPr>
        <w:t xml:space="preserve">Authentication</w:t>
      </w:r>
    </w:p>
    <w:p>
      <w:pPr>
        <w:spacing w:before="60" w:after="60"/>
      </w:pPr>
      <w:r>
        <w:rPr>
          <w:rFonts w:ascii="Arial" w:cs="Arial" w:eastAsia="Arial" w:hAnsi="Arial"/>
          <w:color w:val="000000"/>
          <w:sz w:val="20"/>
          <w:szCs w:val="20"/>
        </w:rPr>
        <w:t xml:space="preserve">Synthient uses a bare API key in the Authorization header without a Bearer prefix, per the Synthient v3 API specification.</w:t>
      </w:r>
    </w:p>
    <w:p>
      <w:pPr>
        <w:pStyle w:val="Heading2"/>
        <w:pBdr>
          <w:bottom w:val="single" w:color="2E75B6" w:sz="4" w:space="1"/>
        </w:pBdr>
        <w:spacing w:before="280" w:after="80"/>
      </w:pPr>
      <w:r>
        <w:rPr>
          <w:rFonts w:ascii="Arial" w:cs="Arial" w:eastAsia="Arial" w:hAnsi="Arial"/>
          <w:b/>
          <w:bCs/>
          <w:color w:val="2E75B6"/>
          <w:sz w:val="26"/>
          <w:szCs w:val="26"/>
        </w:rPr>
        <w:t xml:space="preserve">Retry and 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 200</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Return parsed JSON. No retry.</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HTTP 429 (rate limit)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Exponential backoff, retry up to BACKOFF_RETRIES times.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 402 (quota)</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Same as 429 — treated as transient quota condition.</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HTTP 400 (bad request)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Log warning, return None. No retry. Skip IP.</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Other HTTP error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Log error, return None. No retry.</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Network exception</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Exponential backoff, retry up to BACKOFF_RETRIES times.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retries exhausted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Log error, return None. IP counted as failed.</w:t>
            </w:r>
          </w:p>
        </w:tc>
      </w:tr>
    </w:tbl>
    <w:p>
      <w:pPr>
        <w:spacing w:before="60" w:after="60"/>
      </w:pPr>
      <w:r>
        <w:t xml:space="preserve"/>
      </w:r>
    </w:p>
    <w:p>
      <w:pPr>
        <w:spacing w:before="60" w:after="60"/>
      </w:pPr>
      <w:r>
        <w:rPr>
          <w:rFonts w:ascii="Arial" w:cs="Arial" w:eastAsia="Arial" w:hAnsi="Arial"/>
          <w:color w:val="000000"/>
          <w:sz w:val="20"/>
          <w:szCs w:val="20"/>
        </w:rPr>
        <w:t xml:space="preserve">Backoff parameters: initial delay 5s, multiplier 2x, ceiling 120s, max 5 retries. Sequence: 5s, 10s, 20s, 40s, 80s.</w:t>
      </w:r>
    </w:p>
    <w:p>
      <w:pPr>
        <w:pStyle w:val="Heading2"/>
        <w:pBdr>
          <w:bottom w:val="single" w:color="2E75B6" w:sz="4" w:space="1"/>
        </w:pBdr>
        <w:spacing w:before="280" w:after="80"/>
      </w:pPr>
      <w:r>
        <w:rPr>
          <w:rFonts w:ascii="Arial" w:cs="Arial" w:eastAsia="Arial" w:hAnsi="Arial"/>
          <w:b/>
          <w:bCs/>
          <w:color w:val="2E75B6"/>
          <w:sz w:val="26"/>
          <w:szCs w:val="26"/>
        </w:rPr>
        <w:t xml:space="preserve">Observable-Level Failure Isolation</w:t>
      </w:r>
    </w:p>
    <w:p>
      <w:pPr>
        <w:spacing w:before="60" w:after="60"/>
      </w:pPr>
      <w:r>
        <w:rPr>
          <w:rFonts w:ascii="Arial" w:cs="Arial" w:eastAsia="Arial" w:hAnsi="Arial"/>
          <w:color w:val="000000"/>
          <w:sz w:val="20"/>
          <w:szCs w:val="20"/>
        </w:rPr>
        <w:t xml:space="preserve">A failed API call for one IP does not abort enrichment of subsequent IPs. The final summary reports enriched, skipped, and failed counts separately.</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10. Country Resolution Design</w:t>
      </w:r>
    </w:p>
    <w:p>
      <w:pPr>
        <w:pStyle w:val="Heading2"/>
        <w:pBdr>
          <w:bottom w:val="single" w:color="2E75B6" w:sz="4" w:space="1"/>
        </w:pBdr>
        <w:spacing w:before="280" w:after="80"/>
      </w:pPr>
      <w:r>
        <w:rPr>
          <w:rFonts w:ascii="Arial" w:cs="Arial" w:eastAsia="Arial" w:hAnsi="Arial"/>
          <w:b/>
          <w:bCs/>
          <w:color w:val="2E75B6"/>
          <w:sz w:val="26"/>
          <w:szCs w:val="26"/>
        </w:rPr>
        <w:t xml:space="preserve">Problem</w:t>
      </w:r>
    </w:p>
    <w:p>
      <w:pPr>
        <w:spacing w:before="60" w:after="60"/>
      </w:pPr>
      <w:r>
        <w:rPr>
          <w:rFonts w:ascii="Arial" w:cs="Arial" w:eastAsia="Arial" w:hAnsi="Arial"/>
          <w:color w:val="000000"/>
          <w:sz w:val="20"/>
          <w:szCs w:val="20"/>
        </w:rPr>
        <w:t xml:space="preserve">Synthient returns ISO 3166-1 alpha-2 country codes (e.g. CN, US, GB). OpenCTI stores country entities by full name. No direct ISO code lookup is available via the pycti location API in OpenCTI 6.9.13.</w:t>
      </w:r>
    </w:p>
    <w:p>
      <w:pPr>
        <w:pStyle w:val="Heading2"/>
        <w:pBdr>
          <w:bottom w:val="single" w:color="2E75B6" w:sz="4" w:space="1"/>
        </w:pBdr>
        <w:spacing w:before="280" w:after="80"/>
      </w:pPr>
      <w:r>
        <w:rPr>
          <w:rFonts w:ascii="Arial" w:cs="Arial" w:eastAsia="Arial" w:hAnsi="Arial"/>
          <w:b/>
          <w:bCs/>
          <w:color w:val="2E75B6"/>
          <w:sz w:val="26"/>
          <w:szCs w:val="26"/>
        </w:rPr>
        <w:t xml:space="preserve">Solution</w:t>
      </w:r>
    </w:p>
    <w:p>
      <w:pPr>
        <w:spacing w:before="60" w:after="60"/>
      </w:pPr>
      <w:r>
        <w:rPr>
          <w:rFonts w:ascii="Arial" w:cs="Arial" w:eastAsia="Arial" w:hAnsi="Arial"/>
          <w:color w:val="000000"/>
          <w:sz w:val="20"/>
          <w:szCs w:val="20"/>
        </w:rPr>
        <w:t xml:space="preserve">pycountry converts the alpha-2 code to full name candidates tried in sequence:</w:t>
      </w:r>
    </w:p>
    <w:p>
      <w:pPr>
        <w:pStyle w:val="ListParagraph"/>
        <w:numPr>
          <w:ilvl w:val="0"/>
          <w:numId w:val="2"/>
        </w:numPr>
        <w:spacing w:before="40" w:after="40"/>
      </w:pPr>
      <w:r>
        <w:rPr>
          <w:rFonts w:ascii="Arial" w:cs="Arial" w:eastAsia="Arial" w:hAnsi="Arial"/>
          <w:color w:val="000000"/>
          <w:sz w:val="20"/>
          <w:szCs w:val="20"/>
        </w:rPr>
        <w:t xml:space="preserve">pc.name — pycountry primary name (e.g. "United States")</w:t>
      </w:r>
    </w:p>
    <w:p>
      <w:pPr>
        <w:pStyle w:val="ListParagraph"/>
        <w:numPr>
          <w:ilvl w:val="0"/>
          <w:numId w:val="2"/>
        </w:numPr>
        <w:spacing w:before="40" w:after="40"/>
      </w:pPr>
      <w:r>
        <w:rPr>
          <w:rFonts w:ascii="Arial" w:cs="Arial" w:eastAsia="Arial" w:hAnsi="Arial"/>
          <w:color w:val="000000"/>
          <w:sz w:val="20"/>
          <w:szCs w:val="20"/>
        </w:rPr>
        <w:t xml:space="preserve">pc.common_name — if present and different from primary</w:t>
      </w:r>
    </w:p>
    <w:p>
      <w:pPr>
        <w:pStyle w:val="ListParagraph"/>
        <w:numPr>
          <w:ilvl w:val="0"/>
          <w:numId w:val="2"/>
        </w:numPr>
        <w:spacing w:before="40" w:after="40"/>
      </w:pPr>
      <w:r>
        <w:rPr>
          <w:rFonts w:ascii="Arial" w:cs="Arial" w:eastAsia="Arial" w:hAnsi="Arial"/>
          <w:color w:val="000000"/>
          <w:sz w:val="20"/>
          <w:szCs w:val="20"/>
        </w:rPr>
        <w:t xml:space="preserve">pc.official_name — if present and not already in the list</w:t>
      </w:r>
    </w:p>
    <w:p>
      <w:pPr>
        <w:spacing w:before="60" w:after="60"/>
      </w:pPr>
      <w:r>
        <w:rPr>
          <w:rFonts w:ascii="Arial" w:cs="Arial" w:eastAsia="Arial" w:hAnsi="Arial"/>
          <w:color w:val="000000"/>
          <w:sz w:val="20"/>
          <w:szCs w:val="20"/>
        </w:rPr>
        <w:t xml:space="preserve">The first variant that returns a result is used. If no variant matches, located-at is skipped and a WARNING is logged.</w:t>
      </w:r>
    </w:p>
    <w:p>
      <w:pPr>
        <w:pStyle w:val="Heading2"/>
        <w:pBdr>
          <w:bottom w:val="single" w:color="2E75B6" w:sz="4" w:space="1"/>
        </w:pBdr>
        <w:spacing w:before="280" w:after="80"/>
      </w:pPr>
      <w:r>
        <w:rPr>
          <w:rFonts w:ascii="Arial" w:cs="Arial" w:eastAsia="Arial" w:hAnsi="Arial"/>
          <w:b/>
          <w:bCs/>
          <w:color w:val="2E75B6"/>
          <w:sz w:val="26"/>
          <w:szCs w:val="26"/>
        </w:rPr>
        <w:t xml:space="preserve">entity_type Filter Omission</w:t>
      </w:r>
    </w:p>
    <w:p>
      <w:pPr>
        <w:spacing w:before="60" w:after="60"/>
      </w:pPr>
      <w:r>
        <w:rPr>
          <w:rFonts w:ascii="Arial" w:cs="Arial" w:eastAsia="Arial" w:hAnsi="Arial"/>
          <w:color w:val="000000"/>
          <w:sz w:val="20"/>
          <w:szCs w:val="20"/>
        </w:rPr>
        <w:t xml:space="preserve">The entity_type filter is intentionally absent from location.read() queries. In OpenCTI 6.9.13, combining a name filter with entity_type on location queries triggers UNSUPPORTED_ERROR from the GraphQL layer. Client-side validation against entity_type == "Country" achieves the same result and prevents incorrect located-at links to Region objects.</w:t>
      </w:r>
    </w:p>
    <w:p>
      <w:pPr>
        <w:pStyle w:val="Heading2"/>
        <w:pBdr>
          <w:bottom w:val="single" w:color="2E75B6" w:sz="4" w:space="1"/>
        </w:pBdr>
        <w:spacing w:before="280" w:after="80"/>
      </w:pPr>
      <w:r>
        <w:rPr>
          <w:rFonts w:ascii="Arial" w:cs="Arial" w:eastAsia="Arial" w:hAnsi="Arial"/>
          <w:b/>
          <w:bCs/>
          <w:color w:val="2E75B6"/>
          <w:sz w:val="26"/>
          <w:szCs w:val="26"/>
        </w:rPr>
        <w:t xml:space="preserve">Known Non-Resolving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pycountry name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OpenCTI entity_type</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Hong Kong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Skipped — WARNING logged</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Spain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Region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Skipped — WARNING logged</w:t>
            </w:r>
          </w:p>
        </w:tc>
      </w:tr>
    </w:tbl>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11. Confidence and TLP Handling</w:t>
      </w:r>
    </w:p>
    <w:p>
      <w:pPr>
        <w:pStyle w:val="Heading2"/>
        <w:pBdr>
          <w:bottom w:val="single" w:color="2E75B6" w:sz="4" w:space="1"/>
        </w:pBdr>
        <w:spacing w:before="280" w:after="80"/>
      </w:pPr>
      <w:r>
        <w:rPr>
          <w:rFonts w:ascii="Arial" w:cs="Arial" w:eastAsia="Arial" w:hAnsi="Arial"/>
          <w:b/>
          <w:bCs/>
          <w:color w:val="2E75B6"/>
          <w:sz w:val="26"/>
          <w:szCs w:val="26"/>
        </w:rPr>
        <w:t xml:space="preserve">TLP</w:t>
      </w:r>
    </w:p>
    <w:p>
      <w:pPr>
        <w:spacing w:before="60" w:after="60"/>
      </w:pPr>
      <w:r>
        <w:rPr>
          <w:rFonts w:ascii="Arial" w:cs="Arial" w:eastAsia="Arial" w:hAnsi="Arial"/>
          <w:color w:val="000000"/>
          <w:sz w:val="20"/>
          <w:szCs w:val="20"/>
        </w:rPr>
        <w:t xml:space="preserve">All created objects inherit the SYNTHIENT_TLP configuration value (default: TLP:AMBER+STRICT). The TLP marking is resolved at startup. If the configured value does not match any existing marking, the connector raises ValueError and refuses to start.</w:t>
      </w:r>
    </w:p>
    <w:p>
      <w:pPr>
        <w:pStyle w:val="Heading2"/>
        <w:pBdr>
          <w:bottom w:val="single" w:color="2E75B6" w:sz="4" w:space="1"/>
        </w:pBdr>
        <w:spacing w:before="280" w:after="80"/>
      </w:pPr>
      <w:r>
        <w:rPr>
          <w:rFonts w:ascii="Arial" w:cs="Arial" w:eastAsia="Arial" w:hAnsi="Arial"/>
          <w:b/>
          <w:bCs/>
          <w:color w:val="2E75B6"/>
          <w:sz w:val="26"/>
          <w:szCs w:val="26"/>
        </w:rPr>
        <w:t xml:space="preserve">Confidence</w:t>
      </w:r>
    </w:p>
    <w:p>
      <w:pPr>
        <w:spacing w:before="60" w:after="60"/>
      </w:pPr>
      <w:r>
        <w:rPr>
          <w:rFonts w:ascii="Arial" w:cs="Arial" w:eastAsia="Arial" w:hAnsi="Arial"/>
          <w:color w:val="000000"/>
          <w:sz w:val="20"/>
          <w:szCs w:val="20"/>
        </w:rPr>
        <w:t xml:space="preserve">SYNTHIENT_CONFIDENCE (default: 90) is applied to all created relationships (x_opencti_confidence_level) and Notes. This reflects high confidence in Synthient's proxy/VPN detection accuracy.</w:t>
      </w:r>
    </w:p>
    <w:p>
      <w:pPr>
        <w:spacing w:before="60" w:after="60"/>
      </w:pPr>
      <w:r>
        <w:rPr>
          <w:rFonts w:ascii="Arial" w:cs="Arial" w:eastAsia="Arial" w:hAnsi="Arial"/>
          <w:color w:val="000000"/>
          <w:sz w:val="20"/>
          <w:szCs w:val="20"/>
        </w:rPr>
        <w:t xml:space="preserve">Confidence does not affect x_opencti_score — that value is taken verbatim from the API response and represents Synthient's own risk quantification.</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12. Error Handling and Resilience</w:t>
      </w:r>
    </w:p>
    <w:p>
      <w:pPr>
        <w:pStyle w:val="Heading2"/>
        <w:pBdr>
          <w:bottom w:val="single" w:color="2E75B6" w:sz="4" w:space="1"/>
        </w:pBdr>
        <w:spacing w:before="280" w:after="80"/>
      </w:pPr>
      <w:r>
        <w:rPr>
          <w:rFonts w:ascii="Arial" w:cs="Arial" w:eastAsia="Arial" w:hAnsi="Arial"/>
          <w:b/>
          <w:bCs/>
          <w:color w:val="2E75B6"/>
          <w:sz w:val="26"/>
          <w:szCs w:val="26"/>
        </w:rPr>
        <w:t xml:space="preserve">Per-Step Exception Isolation</w:t>
      </w:r>
    </w:p>
    <w:p>
      <w:pPr>
        <w:spacing w:before="60" w:after="60"/>
      </w:pPr>
      <w:r>
        <w:rPr>
          <w:rFonts w:ascii="Arial" w:cs="Arial" w:eastAsia="Arial" w:hAnsi="Arial"/>
          <w:color w:val="000000"/>
          <w:sz w:val="20"/>
          <w:szCs w:val="20"/>
        </w:rPr>
        <w:t xml:space="preserve">Within _enrich_observable(), each enrichment step is wrapped independently. A failure in one step logs a warning and continues to the next. An IP where ASN resolution fails still receives a Note and score update.</w:t>
      </w:r>
    </w:p>
    <w:p>
      <w:pPr>
        <w:pStyle w:val="Heading2"/>
        <w:pBdr>
          <w:bottom w:val="single" w:color="2E75B6" w:sz="4" w:space="1"/>
        </w:pBdr>
        <w:spacing w:before="280" w:after="80"/>
      </w:pPr>
      <w:r>
        <w:rPr>
          <w:rFonts w:ascii="Arial" w:cs="Arial" w:eastAsia="Arial" w:hAnsi="Arial"/>
          <w:b/>
          <w:bCs/>
          <w:color w:val="2E75B6"/>
          <w:sz w:val="26"/>
          <w:szCs w:val="26"/>
        </w:rPr>
        <w:t xml:space="preserve">Per-Observable Exception Isolation</w:t>
      </w:r>
    </w:p>
    <w:p>
      <w:pPr>
        <w:spacing w:before="60" w:after="60"/>
      </w:pPr>
      <w:r>
        <w:rPr>
          <w:rFonts w:ascii="Arial" w:cs="Arial" w:eastAsia="Arial" w:hAnsi="Arial"/>
          <w:color w:val="000000"/>
          <w:sz w:val="20"/>
          <w:szCs w:val="20"/>
        </w:rPr>
        <w:t xml:space="preserve">Within _process_rfi(), each observable's full enrichment is wrapped. An unhandled exception logs an ERROR with full traceback, increments failed_count, and processing continues.</w:t>
      </w:r>
    </w:p>
    <w:p>
      <w:pPr>
        <w:pStyle w:val="Heading2"/>
        <w:pBdr>
          <w:bottom w:val="single" w:color="2E75B6" w:sz="4" w:space="1"/>
        </w:pBdr>
        <w:spacing w:before="280" w:after="80"/>
      </w:pPr>
      <w:r>
        <w:rPr>
          <w:rFonts w:ascii="Arial" w:cs="Arial" w:eastAsia="Arial" w:hAnsi="Arial"/>
          <w:b/>
          <w:bCs/>
          <w:color w:val="2E75B6"/>
          <w:sz w:val="26"/>
          <w:szCs w:val="26"/>
        </w:rPr>
        <w:t xml:space="preserve">Container Add Failure Isolation</w:t>
      </w:r>
    </w:p>
    <w:p>
      <w:pPr>
        <w:spacing w:before="60" w:after="60"/>
      </w:pPr>
      <w:r>
        <w:rPr>
          <w:rFonts w:ascii="Arial" w:cs="Arial" w:eastAsia="Arial" w:hAnsi="Arial"/>
          <w:color w:val="000000"/>
          <w:sz w:val="20"/>
          <w:szCs w:val="20"/>
        </w:rPr>
        <w:t xml:space="preserve">Each add_stix_object_or_stix_relationship() call is individually wrapped. A failure to add one object logs a warning but does not abort remaining adds.</w:t>
      </w:r>
    </w:p>
    <w:p>
      <w:pPr>
        <w:pStyle w:val="Heading2"/>
        <w:pBdr>
          <w:bottom w:val="single" w:color="2E75B6" w:sz="4" w:space="1"/>
        </w:pBdr>
        <w:spacing w:before="280" w:after="80"/>
      </w:pPr>
      <w:r>
        <w:rPr>
          <w:rFonts w:ascii="Arial" w:cs="Arial" w:eastAsia="Arial" w:hAnsi="Arial"/>
          <w:b/>
          <w:bCs/>
          <w:color w:val="2E75B6"/>
          <w:sz w:val="26"/>
          <w:szCs w:val="26"/>
        </w:rPr>
        <w:t xml:space="preserve">Startup Failures</w:t>
      </w:r>
    </w:p>
    <w:p>
      <w:pPr>
        <w:spacing w:before="60" w:after="60"/>
      </w:pPr>
      <w:r>
        <w:rPr>
          <w:rFonts w:ascii="Arial" w:cs="Arial" w:eastAsia="Arial" w:hAnsi="Arial"/>
          <w:color w:val="000000"/>
          <w:sz w:val="20"/>
          <w:szCs w:val="20"/>
        </w:rPr>
        <w:t xml:space="preserve">If _resolve_author() or _resolve_tlp() raises an exception at startup, the connector exits. Both are hard dependencies.</w:t>
      </w:r>
    </w:p>
    <w:p>
      <w:pPr>
        <w:pStyle w:val="Heading2"/>
        <w:pBdr>
          <w:bottom w:val="single" w:color="2E75B6" w:sz="4" w:space="1"/>
        </w:pBdr>
        <w:spacing w:before="280" w:after="80"/>
      </w:pPr>
      <w:r>
        <w:rPr>
          <w:rFonts w:ascii="Arial" w:cs="Arial" w:eastAsia="Arial" w:hAnsi="Arial"/>
          <w:b/>
          <w:bCs/>
          <w:color w:val="2E75B6"/>
          <w:sz w:val="26"/>
          <w:szCs w:val="26"/>
        </w:rPr>
        <w:t xml:space="preserve">Worker Resolution Timeouts</w:t>
      </w:r>
    </w:p>
    <w:p>
      <w:pPr>
        <w:spacing w:before="60" w:after="60"/>
      </w:pPr>
      <w:r>
        <w:rPr>
          <w:rFonts w:ascii="Arial" w:cs="Arial" w:eastAsia="Arial" w:hAnsi="Arial"/>
          <w:color w:val="000000"/>
          <w:sz w:val="20"/>
          <w:szCs w:val="20"/>
        </w:rPr>
        <w:t xml:space="preserve">If ID resolution exhausts retries, the affected downstream step is skipped with a warning. The connector does not retry the bundle send — the object is already queued and will appear in the graph; it simply will not be added to the RFI container in this run.</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13. Configuration Reference</w:t>
      </w:r>
    </w:p>
    <w:p>
      <w:pPr>
        <w:pStyle w:val="Heading2"/>
        <w:pBdr>
          <w:bottom w:val="single" w:color="2E75B6" w:sz="4" w:space="1"/>
        </w:pBdr>
        <w:spacing w:before="280" w:after="80"/>
      </w:pPr>
      <w:r>
        <w:rPr>
          <w:rFonts w:ascii="Arial" w:cs="Arial" w:eastAsia="Arial" w:hAnsi="Arial"/>
          <w:b/>
          <w:bCs/>
          <w:color w:val="2E75B6"/>
          <w:sz w:val="26"/>
          <w:szCs w:val="26"/>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OPENCTI_URL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 URL of the OpenCTI instance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OPENCTI_TOKEN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API token for the connector service account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CONNECTOR_ID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 string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Unique identifier for this connector instance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SYNTHIENT_API_KEY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Synthient v3 API key</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Optional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CONNECTOR_NAME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Synthient Enrichment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Display name in OpenCTI</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CONNECTOR_LOG_LEVEL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info</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debug / info / warning / error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SYNTHIENT_DAYS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Lookback window in days for behavioral data</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SYNTHIENT_TLP</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TLP:AMBER+STRICT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TLP marking for all created objects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SYNTHIENT_CONFIDENCE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Confidence score 0-100 for created objects</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Tunable Constants (connector.py)</w:t>
      </w:r>
    </w:p>
    <w:p>
      <w:pPr>
        <w:spacing w:before="60" w:after="60"/>
      </w:pPr>
      <w:r>
        <w:rPr>
          <w:rFonts w:ascii="Arial" w:cs="Arial" w:eastAsia="Arial" w:hAnsi="Arial"/>
          <w:color w:val="000000"/>
          <w:sz w:val="20"/>
          <w:szCs w:val="20"/>
        </w:rPr>
        <w:t xml:space="preserve">These require a code change and image rebuild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BACKOFF_INITIAL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Initial retry delay in seconds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BACKOFF_MAX</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120</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Maximum retry delay ceiling in seconds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BACKOFF_FACTOR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Exponential backoff multiplier</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BACKOFF_RETRIES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Maximum API retry attempts per IP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RESOLVE_RETRIES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Maximum worker ID resolution poll attempts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RESOLVE_DELAY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Seconds between worker ID resolution polls</w:t>
            </w:r>
          </w:p>
        </w:tc>
      </w:tr>
    </w:tbl>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14. Known Limitations and Gaps</w:t>
      </w:r>
    </w:p>
    <w:p>
      <w:pPr>
        <w:pStyle w:val="Heading2"/>
        <w:pBdr>
          <w:bottom w:val="single" w:color="2E75B6" w:sz="4" w:space="1"/>
        </w:pBdr>
        <w:spacing w:before="280" w:after="80"/>
      </w:pPr>
      <w:r>
        <w:rPr>
          <w:rFonts w:ascii="Arial" w:cs="Arial" w:eastAsia="Arial" w:hAnsi="Arial"/>
          <w:b/>
          <w:bCs/>
          <w:color w:val="2E75B6"/>
          <w:sz w:val="26"/>
          <w:szCs w:val="26"/>
        </w:rPr>
        <w:t xml:space="preserve">HK and ES Country Resolution</w:t>
      </w:r>
    </w:p>
    <w:p>
      <w:pPr>
        <w:spacing w:before="60" w:after="60"/>
      </w:pPr>
      <w:r>
        <w:rPr>
          <w:rFonts w:ascii="Arial" w:cs="Arial" w:eastAsia="Arial" w:hAnsi="Arial"/>
          <w:color w:val="000000"/>
          <w:sz w:val="20"/>
          <w:szCs w:val="20"/>
        </w:rPr>
        <w:t xml:space="preserve">Hong Kong (HK) and Spain (ES) are classified as Region objects in some OpenCTI deployments. The entity_type == "Country" guard rejects these. No located-at is created. A WARNING is logged. The correct fix is to reclassify the OpenCTI entities at the platform level.</w:t>
      </w:r>
    </w:p>
    <w:p>
      <w:pPr>
        <w:pStyle w:val="Heading2"/>
        <w:pBdr>
          <w:bottom w:val="single" w:color="2E75B6" w:sz="4" w:space="1"/>
        </w:pBdr>
        <w:spacing w:before="280" w:after="80"/>
      </w:pPr>
      <w:r>
        <w:rPr>
          <w:rFonts w:ascii="Arial" w:cs="Arial" w:eastAsia="Arial" w:hAnsi="Arial"/>
          <w:b/>
          <w:bCs/>
          <w:color w:val="2E75B6"/>
          <w:sz w:val="26"/>
          <w:szCs w:val="26"/>
        </w:rPr>
        <w:t xml:space="preserve">Organization Name Fragmentation</w:t>
      </w:r>
    </w:p>
    <w:p>
      <w:pPr>
        <w:spacing w:before="60" w:after="60"/>
      </w:pPr>
      <w:r>
        <w:rPr>
          <w:rFonts w:ascii="Arial" w:cs="Arial" w:eastAsia="Arial" w:hAnsi="Arial"/>
          <w:color w:val="000000"/>
          <w:sz w:val="20"/>
          <w:szCs w:val="20"/>
        </w:rPr>
        <w:t xml:space="preserve">Synthient returns raw ISP/org strings from network registration data. Minor string variations (e.g. "DigitalOcean, LLC" vs "DigitalOcean") produce separate graph entities because deduplication is name-exact. Impact is low — informational scaffolding only.</w:t>
      </w:r>
    </w:p>
    <w:p>
      <w:pPr>
        <w:pStyle w:val="Heading2"/>
        <w:pBdr>
          <w:bottom w:val="single" w:color="2E75B6" w:sz="4" w:space="1"/>
        </w:pBdr>
        <w:spacing w:before="280" w:after="80"/>
      </w:pPr>
      <w:r>
        <w:rPr>
          <w:rFonts w:ascii="Arial" w:cs="Arial" w:eastAsia="Arial" w:hAnsi="Arial"/>
          <w:b/>
          <w:bCs/>
          <w:color w:val="2E75B6"/>
          <w:sz w:val="26"/>
          <w:szCs w:val="26"/>
        </w:rPr>
        <w:t xml:space="preserve">No Domain, Hash, or URL Enrichment</w:t>
      </w:r>
    </w:p>
    <w:p>
      <w:pPr>
        <w:spacing w:before="60" w:after="60"/>
      </w:pPr>
      <w:r>
        <w:rPr>
          <w:rFonts w:ascii="Arial" w:cs="Arial" w:eastAsia="Arial" w:hAnsi="Arial"/>
          <w:color w:val="000000"/>
          <w:sz w:val="20"/>
          <w:szCs w:val="20"/>
        </w:rPr>
        <w:t xml:space="preserve">Synthient's v3 API is IP-centric. There is no lookup endpoint for other observable types. This connector cannot be extended to cover them from this source.</w:t>
      </w:r>
    </w:p>
    <w:p>
      <w:pPr>
        <w:pStyle w:val="Heading2"/>
        <w:pBdr>
          <w:bottom w:val="single" w:color="2E75B6" w:sz="4" w:space="1"/>
        </w:pBdr>
        <w:spacing w:before="280" w:after="80"/>
      </w:pPr>
      <w:r>
        <w:rPr>
          <w:rFonts w:ascii="Arial" w:cs="Arial" w:eastAsia="Arial" w:hAnsi="Arial"/>
          <w:b/>
          <w:bCs/>
          <w:color w:val="2E75B6"/>
          <w:sz w:val="26"/>
          <w:szCs w:val="26"/>
        </w:rPr>
        <w:t xml:space="preserve">Re-Enrichment Creates Duplicate Notes</w:t>
      </w:r>
    </w:p>
    <w:p>
      <w:pPr>
        <w:spacing w:before="60" w:after="60"/>
      </w:pPr>
      <w:r>
        <w:rPr>
          <w:rFonts w:ascii="Arial" w:cs="Arial" w:eastAsia="Arial" w:hAnsi="Arial"/>
          <w:color w:val="000000"/>
          <w:sz w:val="20"/>
          <w:szCs w:val="20"/>
        </w:rPr>
        <w:t xml:space="preserve">Each connector run creates a new Note per IP. Previous Notes are not updated or removed. This is by design — Notes preserve historical enrichment state. Repeated enrichment accumulates Notes on observables.</w:t>
      </w:r>
    </w:p>
    <w:p>
      <w:pPr>
        <w:pStyle w:val="Heading2"/>
        <w:pBdr>
          <w:bottom w:val="single" w:color="2E75B6" w:sz="4" w:space="1"/>
        </w:pBdr>
        <w:spacing w:before="280" w:after="80"/>
      </w:pPr>
      <w:r>
        <w:rPr>
          <w:rFonts w:ascii="Arial" w:cs="Arial" w:eastAsia="Arial" w:hAnsi="Arial"/>
          <w:b/>
          <w:bCs/>
          <w:color w:val="2E75B6"/>
          <w:sz w:val="26"/>
          <w:szCs w:val="26"/>
        </w:rPr>
        <w:t xml:space="preserve">Worker Resolution Timing Sensitivity</w:t>
      </w:r>
    </w:p>
    <w:p>
      <w:pPr>
        <w:spacing w:before="60" w:after="60"/>
      </w:pPr>
      <w:r>
        <w:rPr>
          <w:rFonts w:ascii="Arial" w:cs="Arial" w:eastAsia="Arial" w:hAnsi="Arial"/>
          <w:color w:val="000000"/>
          <w:sz w:val="20"/>
          <w:szCs w:val="20"/>
        </w:rPr>
        <w:t xml:space="preserve">RESOLVE_RETRIES / RESOLVE_DELAY are tuned for a standard single-worker deployment. Under high worker load, resolution may take longer. Increase these constants and rebuild if IDs consistently fail to resolve.</w:t>
      </w:r>
    </w:p>
    <w:p>
      <w:pPr>
        <w:pStyle w:val="Heading2"/>
        <w:pBdr>
          <w:bottom w:val="single" w:color="2E75B6" w:sz="4" w:space="1"/>
        </w:pBdr>
        <w:spacing w:before="280" w:after="80"/>
      </w:pPr>
      <w:r>
        <w:rPr>
          <w:rFonts w:ascii="Arial" w:cs="Arial" w:eastAsia="Arial" w:hAnsi="Arial"/>
          <w:b/>
          <w:bCs/>
          <w:color w:val="2E75B6"/>
          <w:sz w:val="26"/>
          <w:szCs w:val="26"/>
        </w:rPr>
        <w:t xml:space="preserve">IPv6 Geolocation Coverage</w:t>
      </w:r>
    </w:p>
    <w:p>
      <w:pPr>
        <w:spacing w:before="60" w:after="60"/>
      </w:pPr>
      <w:r>
        <w:rPr>
          <w:rFonts w:ascii="Arial" w:cs="Arial" w:eastAsia="Arial" w:hAnsi="Arial"/>
          <w:color w:val="000000"/>
          <w:sz w:val="20"/>
          <w:szCs w:val="20"/>
        </w:rPr>
        <w:t xml:space="preserve">Synthient's geolocation accuracy for IPv6 is generally lower than for IPv4, particularly in APNIC and AFRINIC regions. Risk scores and category classifications are unaffected.</w:t>
      </w:r>
    </w:p>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15.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Automatic enrichment on ingest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Architectural decision — analyst-driven tool only</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Report container support</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Semantic mismatch — Reports are external intelligence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Domain / URL / hash enrichment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capability boundary — Synthient API is IP-only</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Synthient Feed ingestion</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Handled by separate Synthient Feed connector</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Indicator creation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indicator output in Synthient enrichment data</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TTP / ATT&amp;CK mapping</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 technique-level data in Synthient enrichment output</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Threat Actor / Intrusion Set creation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attribution data in Synthient enrichment output</w:t>
            </w:r>
          </w:p>
        </w:tc>
      </w:tr>
      <w:tr>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Sightings</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Synthient data is external assertion, not internal sensor observation</w:t>
            </w:r>
          </w:p>
        </w:tc>
      </w:tr>
    </w:tbl>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16. Dependencies</w:t>
      </w:r>
    </w:p>
    <w:p>
      <w:pPr>
        <w:pStyle w:val="Heading2"/>
        <w:pBdr>
          <w:bottom w:val="single" w:color="2E75B6" w:sz="4" w:space="1"/>
        </w:pBdr>
        <w:spacing w:before="280" w:after="80"/>
      </w:pPr>
      <w:r>
        <w:rPr>
          <w:rFonts w:ascii="Arial" w:cs="Arial" w:eastAsia="Arial" w:hAnsi="Arial"/>
          <w:b/>
          <w:bCs/>
          <w:color w:val="2E75B6"/>
          <w:sz w:val="26"/>
          <w:szCs w:val="26"/>
        </w:rPr>
        <w:t xml:space="preserve">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pycti</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6.9.13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OpenCTI connector framework — must match platform version exactly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stix2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3.0.1</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STIX 2.1 object construction and bundle serialization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requests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2.32.3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 client for Synthient API calls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pycountry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24.6.1</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ISO alpha-2 to full country name resolution</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System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Install Method</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libmagic1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apt-get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Required by pycti via python-magic for file type detection</w:t>
            </w:r>
          </w:p>
        </w:tc>
      </w:tr>
    </w:tbl>
    <w:p>
      <w:pPr>
        <w:spacing w:before="60" w:after="60"/>
      </w:pPr>
      <w:r>
        <w:t xml:space="preserve"/>
      </w:r>
    </w:p>
    <w:p>
      <w:pPr>
        <w:pStyle w:val="Heading2"/>
        <w:pBdr>
          <w:bottom w:val="single" w:color="2E75B6" w:sz="4" w:space="1"/>
        </w:pBdr>
        <w:spacing w:before="280" w:after="80"/>
      </w:pPr>
      <w:r>
        <w:rPr>
          <w:rFonts w:ascii="Arial" w:cs="Arial" w:eastAsia="Arial" w:hAnsi="Arial"/>
          <w:b/>
          <w:bCs/>
          <w:color w:val="2E75B6"/>
          <w:sz w:val="26"/>
          <w:szCs w:val="26"/>
        </w:rPr>
        <w:t xml:space="preserve">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 image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python:3.11-slim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OpenCTI version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6.9.13 (pycti version must match exactly)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RabbitMQ</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Provided by OpenCTI stack — no separate configuration required</w:t>
            </w:r>
          </w:p>
        </w:tc>
      </w:tr>
    </w:tbl>
    <w:p>
      <w:pPr>
        <w:spacing w:before="60" w:after="60"/>
      </w:pPr>
      <w:r>
        <w:t xml:space="preserve"/>
      </w:r>
    </w:p>
    <w:p>
      <w:pPr>
        <w:pStyle w:val="Heading1"/>
        <w:shd w:fill="1F4E79" w:val="clear"/>
        <w:spacing w:before="360" w:after="120"/>
        <w:ind w:left="160"/>
      </w:pPr>
      <w:r>
        <w:rPr>
          <w:rFonts w:ascii="Arial" w:cs="Arial" w:eastAsia="Arial" w:hAnsi="Arial"/>
          <w:b/>
          <w:bCs/>
          <w:color w:val="FFFFFF"/>
          <w:sz w:val="32"/>
          <w:szCs w:val="32"/>
        </w:rPr>
        <w:t xml:space="preserve">17. Decision Log</w:t>
      </w:r>
    </w:p>
    <w:p>
      <w:pPr>
        <w:shd w:fill="D6E4F0" w:val="clear"/>
        <w:spacing w:before="200" w:after="60"/>
        <w:ind w:left="160"/>
      </w:pPr>
      <w:r>
        <w:rPr>
          <w:rFonts w:ascii="Arial" w:cs="Arial" w:eastAsia="Arial" w:hAnsi="Arial"/>
          <w:b/>
          <w:bCs/>
          <w:color w:val="1F4E79"/>
          <w:sz w:val="22"/>
          <w:szCs w:val="22"/>
        </w:rPr>
        <w:t xml:space="preserve">DEC-001  </w:t>
      </w:r>
      <w:r>
        <w:rPr>
          <w:rFonts w:ascii="Arial" w:cs="Arial" w:eastAsia="Arial" w:hAnsi="Arial"/>
          <w:b/>
          <w:bCs/>
          <w:color w:val="000000"/>
          <w:sz w:val="22"/>
          <w:szCs w:val="22"/>
        </w:rPr>
        <w:t xml:space="preserve">Manual trigger only (auto: False)</w:t>
      </w:r>
    </w:p>
    <w:p>
      <w:pPr>
        <w:spacing w:before="60" w:after="120"/>
        <w:ind w:left="160"/>
      </w:pPr>
      <w:r>
        <w:rPr>
          <w:rFonts w:ascii="Arial" w:cs="Arial" w:eastAsia="Arial" w:hAnsi="Arial"/>
          <w:color w:val="000000"/>
          <w:sz w:val="20"/>
          <w:szCs w:val="20"/>
        </w:rPr>
        <w:t xml:space="preserve">Automatic enrichment would enrich every IP observable ingested into any Case-Rfi, including IPs from connectors that ingest large volumes (e.g. UDM Pro blocked-flow data). This would produce thousands of unnecessary API calls, enrichment output for low-value IPs no analyst has reviewed, and Notes that clutter the graph without investigative value. Manual trigger ensures enrichment is always intentional and investigation-scoped.</w:t>
      </w:r>
    </w:p>
    <w:p>
      <w:pPr>
        <w:shd w:fill="D6E4F0" w:val="clear"/>
        <w:spacing w:before="200" w:after="60"/>
        <w:ind w:left="160"/>
      </w:pPr>
      <w:r>
        <w:rPr>
          <w:rFonts w:ascii="Arial" w:cs="Arial" w:eastAsia="Arial" w:hAnsi="Arial"/>
          <w:b/>
          <w:bCs/>
          <w:color w:val="1F4E79"/>
          <w:sz w:val="22"/>
          <w:szCs w:val="22"/>
        </w:rPr>
        <w:t xml:space="preserve">DEC-002  </w:t>
      </w:r>
      <w:r>
        <w:rPr>
          <w:rFonts w:ascii="Arial" w:cs="Arial" w:eastAsia="Arial" w:hAnsi="Arial"/>
          <w:b/>
          <w:bCs/>
          <w:color w:val="000000"/>
          <w:sz w:val="22"/>
          <w:szCs w:val="22"/>
        </w:rPr>
        <w:t xml:space="preserve">Case-Rfi scope only</w:t>
      </w:r>
    </w:p>
    <w:p>
      <w:pPr>
        <w:spacing w:before="60" w:after="120"/>
        <w:ind w:left="160"/>
      </w:pPr>
      <w:r>
        <w:rPr>
          <w:rFonts w:ascii="Arial" w:cs="Arial" w:eastAsia="Arial" w:hAnsi="Arial"/>
          <w:color w:val="000000"/>
          <w:sz w:val="20"/>
          <w:szCs w:val="20"/>
        </w:rPr>
        <w:t xml:space="preserve">Report containers hold external intelligence assertions. Enriching IPs within a Report would mix third-party source data with connector-generated enrichment output, violating the provenance boundary between what an external source claims and what internal tools have assessed. Case-Rfi is the correct container for analyst-driven enrichment.</w:t>
      </w:r>
    </w:p>
    <w:p>
      <w:pPr>
        <w:shd w:fill="D6E4F0" w:val="clear"/>
        <w:spacing w:before="200" w:after="60"/>
        <w:ind w:left="160"/>
      </w:pPr>
      <w:r>
        <w:rPr>
          <w:rFonts w:ascii="Arial" w:cs="Arial" w:eastAsia="Arial" w:hAnsi="Arial"/>
          <w:b/>
          <w:bCs/>
          <w:color w:val="1F4E79"/>
          <w:sz w:val="22"/>
          <w:szCs w:val="22"/>
        </w:rPr>
        <w:t xml:space="preserve">DEC-003  </w:t>
      </w:r>
      <w:r>
        <w:rPr>
          <w:rFonts w:ascii="Arial" w:cs="Arial" w:eastAsia="Arial" w:hAnsi="Arial"/>
          <w:b/>
          <w:bCs/>
          <w:color w:val="000000"/>
          <w:sz w:val="22"/>
          <w:szCs w:val="22"/>
        </w:rPr>
        <w:t xml:space="preserve">All output added to RFI container</w:t>
      </w:r>
    </w:p>
    <w:p>
      <w:pPr>
        <w:spacing w:before="60" w:after="120"/>
        <w:ind w:left="160"/>
      </w:pPr>
      <w:r>
        <w:rPr>
          <w:rFonts w:ascii="Arial" w:cs="Arial" w:eastAsia="Arial" w:hAnsi="Arial"/>
          <w:color w:val="000000"/>
          <w:sz w:val="20"/>
          <w:szCs w:val="20"/>
        </w:rPr>
        <w:t xml:space="preserve">The platform data model requires all entities to live inside a container. Enrichment output that is not containerized would be orphaned — ungoverned, unattributable, and invisible to analysts working the case. Bulk-adding all created UUIDs at the end of the run satisfies containment with a single batched API pass.</w:t>
      </w:r>
    </w:p>
    <w:p>
      <w:pPr>
        <w:shd w:fill="D6E4F0" w:val="clear"/>
        <w:spacing w:before="200" w:after="60"/>
        <w:ind w:left="160"/>
      </w:pPr>
      <w:r>
        <w:rPr>
          <w:rFonts w:ascii="Arial" w:cs="Arial" w:eastAsia="Arial" w:hAnsi="Arial"/>
          <w:b/>
          <w:bCs/>
          <w:color w:val="1F4E79"/>
          <w:sz w:val="22"/>
          <w:szCs w:val="22"/>
        </w:rPr>
        <w:t xml:space="preserve">DEC-004  </w:t>
      </w:r>
      <w:r>
        <w:rPr>
          <w:rFonts w:ascii="Arial" w:cs="Arial" w:eastAsia="Arial" w:hAnsi="Arial"/>
          <w:b/>
          <w:bCs/>
          <w:color w:val="000000"/>
          <w:sz w:val="22"/>
          <w:szCs w:val="22"/>
        </w:rPr>
        <w:t xml:space="preserve">STIX bundle for SCO creation and all relationships</w:t>
      </w:r>
    </w:p>
    <w:p>
      <w:pPr>
        <w:spacing w:before="60" w:after="120"/>
        <w:ind w:left="160"/>
      </w:pPr>
      <w:r>
        <w:rPr>
          <w:rFonts w:ascii="Arial" w:cs="Arial" w:eastAsia="Arial" w:hAnsi="Arial"/>
          <w:color w:val="000000"/>
          <w:sz w:val="20"/>
          <w:szCs w:val="20"/>
        </w:rPr>
        <w:t xml:space="preserve">OpenCTI 6.9.13 does not support direct API creation of SCOs. AutonomousSystem must go through the bundle pipeline. All relationships are also sent via bundle for consistency and to ensure correct worker pipeline routing. Mixing direct API relationship creation with bundle-based SCO creation produced inconsistent results in testing.</w:t>
      </w:r>
    </w:p>
    <w:p>
      <w:pPr>
        <w:shd w:fill="D6E4F0" w:val="clear"/>
        <w:spacing w:before="200" w:after="60"/>
        <w:ind w:left="160"/>
      </w:pPr>
      <w:r>
        <w:rPr>
          <w:rFonts w:ascii="Arial" w:cs="Arial" w:eastAsia="Arial" w:hAnsi="Arial"/>
          <w:b/>
          <w:bCs/>
          <w:color w:val="1F4E79"/>
          <w:sz w:val="22"/>
          <w:szCs w:val="22"/>
        </w:rPr>
        <w:t xml:space="preserve">DEC-005  </w:t>
      </w:r>
      <w:r>
        <w:rPr>
          <w:rFonts w:ascii="Arial" w:cs="Arial" w:eastAsia="Arial" w:hAnsi="Arial"/>
          <w:b/>
          <w:bCs/>
          <w:color w:val="000000"/>
          <w:sz w:val="22"/>
          <w:szCs w:val="22"/>
        </w:rPr>
        <w:t xml:space="preserve">Deterministic STIX IDs for deduplication</w:t>
      </w:r>
    </w:p>
    <w:p>
      <w:pPr>
        <w:spacing w:before="60" w:after="120"/>
        <w:ind w:left="160"/>
      </w:pPr>
      <w:r>
        <w:rPr>
          <w:rFonts w:ascii="Arial" w:cs="Arial" w:eastAsia="Arial" w:hAnsi="Arial"/>
          <w:color w:val="000000"/>
          <w:sz w:val="20"/>
          <w:szCs w:val="20"/>
        </w:rPr>
        <w:t xml:space="preserve">AutonomousSystem objects use the stix2 library's deterministic ID generation. Relationships use StixCoreRelationship.generate_id(). This ensures that re-enriching the same IP against the same ASN across multiple runs merges into existing graph nodes rather than creating duplicate entities and edges. No state file or external dedup lookup is required.</w:t>
      </w:r>
    </w:p>
    <w:p>
      <w:pPr>
        <w:shd w:fill="D6E4F0" w:val="clear"/>
        <w:spacing w:before="200" w:after="60"/>
        <w:ind w:left="160"/>
      </w:pPr>
      <w:r>
        <w:rPr>
          <w:rFonts w:ascii="Arial" w:cs="Arial" w:eastAsia="Arial" w:hAnsi="Arial"/>
          <w:b/>
          <w:bCs/>
          <w:color w:val="1F4E79"/>
          <w:sz w:val="22"/>
          <w:szCs w:val="22"/>
        </w:rPr>
        <w:t xml:space="preserve">DEC-006  </w:t>
      </w:r>
      <w:r>
        <w:rPr>
          <w:rFonts w:ascii="Arial" w:cs="Arial" w:eastAsia="Arial" w:hAnsi="Arial"/>
          <w:b/>
          <w:bCs/>
          <w:color w:val="000000"/>
          <w:sz w:val="22"/>
          <w:szCs w:val="22"/>
        </w:rPr>
        <w:t xml:space="preserve">Notes are not deduplicated</w:t>
      </w:r>
    </w:p>
    <w:p>
      <w:pPr>
        <w:spacing w:before="60" w:after="120"/>
        <w:ind w:left="160"/>
      </w:pPr>
      <w:r>
        <w:rPr>
          <w:rFonts w:ascii="Arial" w:cs="Arial" w:eastAsia="Arial" w:hAnsi="Arial"/>
          <w:color w:val="000000"/>
          <w:sz w:val="20"/>
          <w:szCs w:val="20"/>
        </w:rPr>
        <w:t xml:space="preserve">Each enrichment run creates a new Note. This preserves the historical record of what Synthient reported at each point in time. An IP that was a residential proxy in January and clean in March should have two Notes reflecting both states, not a single overwritten record.</w:t>
      </w:r>
    </w:p>
    <w:p>
      <w:pPr>
        <w:shd w:fill="D6E4F0" w:val="clear"/>
        <w:spacing w:before="200" w:after="60"/>
        <w:ind w:left="160"/>
      </w:pPr>
      <w:r>
        <w:rPr>
          <w:rFonts w:ascii="Arial" w:cs="Arial" w:eastAsia="Arial" w:hAnsi="Arial"/>
          <w:b/>
          <w:bCs/>
          <w:color w:val="1F4E79"/>
          <w:sz w:val="22"/>
          <w:szCs w:val="22"/>
        </w:rPr>
        <w:t xml:space="preserve">DEC-007  </w:t>
      </w:r>
      <w:r>
        <w:rPr>
          <w:rFonts w:ascii="Arial" w:cs="Arial" w:eastAsia="Arial" w:hAnsi="Arial"/>
          <w:b/>
          <w:bCs/>
          <w:color w:val="000000"/>
          <w:sz w:val="22"/>
          <w:szCs w:val="22"/>
        </w:rPr>
        <w:t xml:space="preserve">entity_type filter removed from country lookup</w:t>
      </w:r>
    </w:p>
    <w:p>
      <w:pPr>
        <w:spacing w:before="60" w:after="120"/>
        <w:ind w:left="160"/>
      </w:pPr>
      <w:r>
        <w:rPr>
          <w:rFonts w:ascii="Arial" w:cs="Arial" w:eastAsia="Arial" w:hAnsi="Arial"/>
          <w:color w:val="000000"/>
          <w:sz w:val="20"/>
          <w:szCs w:val="20"/>
        </w:rPr>
        <w:t xml:space="preserve">Combining name and entity_type filters on location.read() in OpenCTI 6.9.13 triggers UNSUPPORTED_ERROR from the GraphQL layer. Client-side entity_type == "Country" validation achieves the same result without triggering the API error, while also preventing incorrect located-at links to Region objects that share a name with a country.</w:t>
      </w:r>
    </w:p>
    <w:p>
      <w:pPr>
        <w:shd w:fill="D6E4F0" w:val="clear"/>
        <w:spacing w:before="200" w:after="60"/>
        <w:ind w:left="160"/>
      </w:pPr>
      <w:r>
        <w:rPr>
          <w:rFonts w:ascii="Arial" w:cs="Arial" w:eastAsia="Arial" w:hAnsi="Arial"/>
          <w:b/>
          <w:bCs/>
          <w:color w:val="1F4E79"/>
          <w:sz w:val="22"/>
          <w:szCs w:val="22"/>
        </w:rPr>
        <w:t xml:space="preserve">DEC-008  </w:t>
      </w:r>
      <w:r>
        <w:rPr>
          <w:rFonts w:ascii="Arial" w:cs="Arial" w:eastAsia="Arial" w:hAnsi="Arial"/>
          <w:b/>
          <w:bCs/>
          <w:color w:val="000000"/>
          <w:sz w:val="22"/>
          <w:szCs w:val="22"/>
        </w:rPr>
        <w:t xml:space="preserve">ISP as fallback for org_name</w:t>
      </w:r>
    </w:p>
    <w:p>
      <w:pPr>
        <w:spacing w:before="60" w:after="120"/>
        <w:ind w:left="160"/>
      </w:pPr>
      <w:r>
        <w:rPr>
          <w:rFonts w:ascii="Arial" w:cs="Arial" w:eastAsia="Arial" w:hAnsi="Arial"/>
          <w:color w:val="000000"/>
          <w:sz w:val="20"/>
          <w:szCs w:val="20"/>
        </w:rPr>
        <w:t xml:space="preserve">Synthient's network.org field is frequently null for datacenter IPs where the ISP and operating organization are the same entity. Falling back to network.isp when org is null ensures the Organization entity is always created with a meaningful name, preserving the ASN -&gt; Organization edge for all enriched IPs.</w:t>
      </w:r>
    </w:p>
    <w:p>
      <w:pPr>
        <w:shd w:fill="D6E4F0" w:val="clear"/>
        <w:spacing w:before="200" w:after="60"/>
        <w:ind w:left="160"/>
      </w:pPr>
      <w:r>
        <w:rPr>
          <w:rFonts w:ascii="Arial" w:cs="Arial" w:eastAsia="Arial" w:hAnsi="Arial"/>
          <w:b/>
          <w:bCs/>
          <w:color w:val="1F4E79"/>
          <w:sz w:val="22"/>
          <w:szCs w:val="22"/>
        </w:rPr>
        <w:t xml:space="preserve">DEC-009  </w:t>
      </w:r>
      <w:r>
        <w:rPr>
          <w:rFonts w:ascii="Arial" w:cs="Arial" w:eastAsia="Arial" w:hAnsi="Arial"/>
          <w:b/>
          <w:bCs/>
          <w:color w:val="000000"/>
          <w:sz w:val="22"/>
          <w:szCs w:val="22"/>
        </w:rPr>
        <w:t xml:space="preserve">Sequential observable processing</w:t>
      </w:r>
    </w:p>
    <w:p>
      <w:pPr>
        <w:spacing w:before="60" w:after="120"/>
        <w:ind w:left="160"/>
      </w:pPr>
      <w:r>
        <w:rPr>
          <w:rFonts w:ascii="Arial" w:cs="Arial" w:eastAsia="Arial" w:hAnsi="Arial"/>
          <w:color w:val="000000"/>
          <w:sz w:val="20"/>
          <w:szCs w:val="20"/>
        </w:rPr>
        <w:t xml:space="preserve">Processing observables sequentially avoids two failure modes: (a) concurrent STIX bundle sends for the same ASN from different IPs in the same RFI, which could trigger duplicate-creation races in the worker; and (b) simultaneous polling loops competing for worker availability. The throughput trade-off is acceptable for the expected scale of a Case-Rfi (typically 1-50 IPs).</w:t>
      </w:r>
    </w:p>
    <w:p>
      <w:pPr>
        <w:shd w:fill="D6E4F0" w:val="clear"/>
        <w:spacing w:before="200" w:after="60"/>
        <w:ind w:left="160"/>
      </w:pPr>
      <w:r>
        <w:rPr>
          <w:rFonts w:ascii="Arial" w:cs="Arial" w:eastAsia="Arial" w:hAnsi="Arial"/>
          <w:b/>
          <w:bCs/>
          <w:color w:val="1F4E79"/>
          <w:sz w:val="22"/>
          <w:szCs w:val="22"/>
        </w:rPr>
        <w:t xml:space="preserve">DEC-010  </w:t>
      </w:r>
      <w:r>
        <w:rPr>
          <w:rFonts w:ascii="Arial" w:cs="Arial" w:eastAsia="Arial" w:hAnsi="Arial"/>
          <w:b/>
          <w:bCs/>
          <w:color w:val="000000"/>
          <w:sz w:val="22"/>
          <w:szCs w:val="22"/>
        </w:rPr>
        <w:t xml:space="preserve">print() in __main__ exception handler</w:t>
      </w:r>
    </w:p>
    <w:p>
      <w:pPr>
        <w:spacing w:before="60" w:after="120"/>
        <w:ind w:left="160"/>
      </w:pPr>
      <w:r>
        <w:rPr>
          <w:rFonts w:ascii="Arial" w:cs="Arial" w:eastAsia="Arial" w:hAnsi="Arial"/>
          <w:color w:val="000000"/>
          <w:sz w:val="20"/>
          <w:szCs w:val="20"/>
        </w:rPr>
        <w:t xml:space="preserve">The __main__ block uses print(traceback.format_exc()) rather than the helper logger because __init__ may have failed before the logger was initialised. print() writes to stdout which is captured by Docker and surfaced in docker logs. This is the appropriate last-resort fallback for fatal startup failures.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For Internal Use  |  TLP:AMBER+STRICT</w:t>
    </w:r>
    <w:r>
      <w:rPr>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88888"/>
        <w:sz w:val="16"/>
        <w:szCs w:val="16"/>
      </w:rPr>
      <w:t xml:space="preserve">Synthient Enrichment Connector  |  CONNECTOR_SCOPE</w:t>
    </w:r>
    <w:r>
      <w:rPr>
        <w:sz w:val="16"/>
        <w:szCs w:val="16"/>
      </w:rPr>
      <w:t xml:space="preserve">	</w:t>
    </w:r>
    <w:r>
      <w:rPr>
        <w:rFonts w:ascii="Arial" w:cs="Arial" w:eastAsia="Arial" w:hAnsi="Arial"/>
        <w:color w:val="888888"/>
        <w:sz w:val="16"/>
        <w:szCs w:val="16"/>
      </w:rPr>
      <w:t xml:space="preserve">OpenCTI 6.9.13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2026-03-24T11:03:32.792Z</dcterms:created>
  <dcterms:modified xsi:type="dcterms:W3CDTF">2026-03-24T11:03:32.793Z</dcterms:modified>
</cp:coreProperties>
</file>

<file path=docProps/custom.xml><?xml version="1.0" encoding="utf-8"?>
<Properties xmlns="http://schemas.openxmlformats.org/officeDocument/2006/custom-properties" xmlns:vt="http://schemas.openxmlformats.org/officeDocument/2006/docPropsVTypes"/>
</file>