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rPr>
          <w:sz w:val="22"/>
          <w:szCs w:val="22"/>
        </w:rPr>
        <w:t xml:space="preserve"/>
      </w:r>
    </w:p>
    <w:p>
      <w:pPr>
        <w:spacing w:before="40" w:after="40"/>
      </w:pPr>
      <w:r>
        <w:rPr>
          <w:sz w:val="22"/>
          <w:szCs w:val="22"/>
        </w:rPr>
        <w:t xml:space="preserve"/>
      </w:r>
    </w:p>
    <w:p>
      <w:pPr>
        <w:spacing w:before="480" w:after="80"/>
        <w:jc w:val="center"/>
      </w:pPr>
      <w:r>
        <w:rPr>
          <w:rFonts w:ascii="Arial" w:cs="Arial" w:eastAsia="Arial" w:hAnsi="Arial"/>
          <w:b/>
          <w:bCs/>
          <w:color w:val="1F4E79"/>
          <w:sz w:val="72"/>
          <w:szCs w:val="72"/>
        </w:rPr>
        <w:t xml:space="preserve">URLHaus</w:t>
      </w:r>
    </w:p>
    <w:p>
      <w:pPr>
        <w:spacing w:before="0" w:after="80"/>
        <w:jc w:val="center"/>
      </w:pPr>
      <w:r>
        <w:rPr>
          <w:rFonts w:ascii="Arial" w:cs="Arial" w:eastAsia="Arial" w:hAnsi="Arial"/>
          <w:color w:val="595959"/>
          <w:sz w:val="40"/>
          <w:szCs w:val="40"/>
        </w:rPr>
        <w:t xml:space="preserve">OpenCTI Connector</w:t>
      </w:r>
    </w:p>
    <w:p>
      <w:pPr>
        <w:spacing w:before="0" w:after="600"/>
        <w:jc w:val="center"/>
      </w:pPr>
      <w:r>
        <w:rPr>
          <w:rFonts w:ascii="Arial" w:cs="Arial" w:eastAsia="Arial" w:hAnsi="Arial"/>
          <w:color w:val="AAAAAA"/>
          <w:sz w:val="28"/>
          <w:szCs w:val="28"/>
        </w:rPr>
        <w:t xml:space="preserve">Connector Scoping Document</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Version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1.0.3</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OpenCTI Target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6.9.13</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pycti</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6.9.13</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Data Source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abuse.ch URLHaus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Connector Type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EXTERNAL_IMPORT</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Run Interval</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Daily (24 hours)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Output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Observables, Malware SDOs, Tool SDOs, Software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Classification</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TLP:CLEAR</w:t>
            </w:r>
          </w:p>
        </w:tc>
      </w:tr>
    </w:tbl>
    <w:p>
      <w:pPr>
        <w:spacing w:before="40" w:after="40"/>
      </w:pPr>
      <w:r>
        <w:rPr>
          <w:sz w:val="22"/>
          <w:szCs w:val="22"/>
        </w:rPr>
        <w:t xml:space="preserve"/>
      </w:r>
    </w:p>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1. Purpose and Scope</w:t>
      </w:r>
    </w:p>
    <w:p>
      <w:pPr>
        <w:spacing w:before="80" w:after="80"/>
      </w:pPr>
      <w:r>
        <w:rPr>
          <w:rFonts w:ascii="Arial" w:cs="Arial" w:eastAsia="Arial" w:hAnsi="Arial"/>
          <w:color w:val="2E2E2E"/>
          <w:sz w:val="22"/>
          <w:szCs w:val="22"/>
        </w:rPr>
        <w:t xml:space="preserve">This document defines the complete scope, design rationale, data model, and operational behaviour of the OpenCTI URLHaus connector. It is the authoritative reference for analysts, engineers, and reviewers who need to understand what this connector produces, why it is designed the way it is, and how to operate and extend it.</w:t>
      </w:r>
    </w:p>
    <w:p>
      <w:pPr>
        <w:spacing w:before="40" w:after="40"/>
      </w:pPr>
      <w:r>
        <w:rPr>
          <w:sz w:val="22"/>
          <w:szCs w:val="22"/>
        </w:rPr>
        <w:t xml:space="preserve"/>
      </w:r>
    </w:p>
    <w:p>
      <w:pPr>
        <w:spacing w:before="80" w:after="80"/>
      </w:pPr>
      <w:r>
        <w:rPr>
          <w:rFonts w:ascii="Arial" w:cs="Arial" w:eastAsia="Arial" w:hAnsi="Arial"/>
          <w:color w:val="2E2E2E"/>
          <w:sz w:val="22"/>
          <w:szCs w:val="22"/>
        </w:rPr>
        <w:t xml:space="preserve">The connector ingests active malware distribution URLs and associated payload file hashes from abuse.ch URLHaus into a self-hosted OpenCTI 6.9.13 instance. Output includes observable entities, Malware SDOs, Tool SDOs, and Software observables — all scoped to daily Report containers and attributed to the abuse.ch Organization identity.</w:t>
      </w:r>
    </w:p>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2. Data Source</w:t>
      </w:r>
    </w:p>
    <w:p>
      <w:pPr>
        <w:pStyle w:val="Heading2"/>
        <w:spacing w:before="280" w:after="120"/>
      </w:pPr>
      <w:r>
        <w:rPr>
          <w:rFonts w:ascii="Arial" w:cs="Arial" w:eastAsia="Arial" w:hAnsi="Arial"/>
          <w:b/>
          <w:bCs/>
          <w:color w:val="1F4E79"/>
          <w:sz w:val="26"/>
          <w:szCs w:val="26"/>
        </w:rPr>
        <w:t xml:space="preserve">2.1 About URLHaus</w:t>
      </w:r>
    </w:p>
    <w:p>
      <w:pPr>
        <w:spacing w:before="80" w:after="80"/>
      </w:pPr>
      <w:r>
        <w:rPr>
          <w:rFonts w:ascii="Arial" w:cs="Arial" w:eastAsia="Arial" w:hAnsi="Arial"/>
          <w:color w:val="2E2E2E"/>
          <w:sz w:val="22"/>
          <w:szCs w:val="22"/>
        </w:rPr>
        <w:t xml:space="preserve">URLHaus is a platform operated by abuse.ch, a Swiss nonprofit that tracks malicious internet infrastructure. URLHaus is community-driven: security researchers submit URLs that are actively distributing malware, and abuse.ch continuously verifies the status of each URL. As of early 2026, URLHaus tracks more than 3.7 million malware distribution URLs and answers approximately 175 million API requests per month.</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2.2 API Endpoints Consumed</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Filter Applied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/urls/recent/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Last 1,000 submitted URLs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url_status == 'online' only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/payloads/recent/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Last 1,000 submitted payloads</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None — all payloads retained</w:t>
            </w:r>
          </w:p>
        </w:tc>
      </w:tr>
    </w:tbl>
    <w:p>
      <w:pPr>
        <w:spacing w:before="40" w:after="40"/>
      </w:pPr>
      <w:r>
        <w:rPr>
          <w:sz w:val="22"/>
          <w:szCs w:val="22"/>
        </w:rPr>
        <w:t xml:space="preserve"/>
      </w:r>
    </w:p>
    <w:p>
      <w:pPr>
        <w:spacing w:before="80" w:after="80"/>
      </w:pPr>
      <w:r>
        <w:rPr>
          <w:rFonts w:ascii="Arial" w:cs="Arial" w:eastAsia="Arial" w:hAnsi="Arial"/>
          <w:color w:val="2E2E2E"/>
          <w:sz w:val="22"/>
          <w:szCs w:val="22"/>
        </w:rPr>
        <w:t xml:space="preserve">Authentication uses the Auth-Key HTTP header on GET requests. The current API version returns 405 on POST and 401 on unauthenticated GET.</w:t>
      </w:r>
    </w:p>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3. Design Philosophy</w:t>
      </w:r>
    </w:p>
    <w:p>
      <w:pPr>
        <w:pStyle w:val="Heading2"/>
        <w:spacing w:before="280" w:after="120"/>
      </w:pPr>
      <w:r>
        <w:rPr>
          <w:rFonts w:ascii="Arial" w:cs="Arial" w:eastAsia="Arial" w:hAnsi="Arial"/>
          <w:b/>
          <w:bCs/>
          <w:color w:val="1F4E79"/>
          <w:sz w:val="26"/>
          <w:szCs w:val="26"/>
        </w:rPr>
        <w:t xml:space="preserve">3.1 Observable-Only Output</w:t>
      </w:r>
    </w:p>
    <w:p>
      <w:pPr>
        <w:spacing w:before="80" w:after="80"/>
      </w:pPr>
      <w:r>
        <w:rPr>
          <w:rFonts w:ascii="Arial" w:cs="Arial" w:eastAsia="Arial" w:hAnsi="Arial"/>
          <w:color w:val="2E2E2E"/>
          <w:sz w:val="22"/>
          <w:szCs w:val="22"/>
        </w:rPr>
        <w:t xml:space="preserve">This connector never creates Indicator objects. createIndicator=False is set on every observable create call. An Observable is a technical fact; an Indicator carries an analytical assertion. That assertion belongs to the analyst, not to an automated feed ingestor operating at scale.</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NOTE</w:t>
            </w:r>
          </w:p>
        </w:tc>
        <w:tc>
          <w:tcPr>
            <w:tcW w:type="dxa" w:w="7920"/>
            <w:tcBorders>
              <w:top w:val="single" w:color="BBBBBB" w:sz="1"/>
              <w:left w:val="none" w:color="FFFFFF" w:sz="0"/>
              <w:bottom w:val="single" w:color="BBBBBB" w:sz="1"/>
              <w:right w:val="single" w:color="BBBBBB" w:sz="1"/>
            </w:tcBorders>
            <w:shd w:fill="EBF3FB" w:val="clear"/>
            <w:tcMar>
              <w:top w:type="dxa" w:w="100"/>
              <w:left w:type="dxa" w:w="160"/>
              <w:bottom w:type="dxa" w:w="100"/>
              <w:right w:type="dxa" w:w="160"/>
            </w:tcMar>
          </w:tcPr>
          <w:p>
            <w:r>
              <w:rPr>
                <w:rFonts w:ascii="Arial" w:cs="Arial" w:eastAsia="Arial" w:hAnsi="Arial"/>
                <w:color w:val="2E2E2E"/>
                <w:sz w:val="20"/>
                <w:szCs w:val="20"/>
              </w:rPr>
              <w:t xml:space="preserve">YARA rules are the only Indicators created anywhere in this connector ecosystem, via the VirusTotal connector, under explicit policy authorization. URLHaus output is observable-only by permanent policy.</w:t>
            </w:r>
          </w:p>
        </w:tc>
      </w:tr>
    </w:tbl>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3.2 Container-First Containment</w:t>
      </w:r>
    </w:p>
    <w:p>
      <w:pPr>
        <w:spacing w:before="80" w:after="80"/>
      </w:pPr>
      <w:r>
        <w:rPr>
          <w:rFonts w:ascii="Arial" w:cs="Arial" w:eastAsia="Arial" w:hAnsi="Arial"/>
          <w:color w:val="2E2E2E"/>
          <w:sz w:val="22"/>
          <w:szCs w:val="22"/>
        </w:rPr>
        <w:t xml:space="preserve">Every object created by this connector is explicitly linked to its daily Report container. No entity or observable exists in the graph without provenance. This enforces the Four Cs data model and ensures all data is traceable, scopeable, and manageable over time.</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3.3 Graph-Native Deduplication</w:t>
      </w:r>
    </w:p>
    <w:p>
      <w:pPr>
        <w:spacing w:before="80" w:after="80"/>
      </w:pPr>
      <w:r>
        <w:rPr>
          <w:rFonts w:ascii="Arial" w:cs="Arial" w:eastAsia="Arial" w:hAnsi="Arial"/>
          <w:color w:val="2E2E2E"/>
          <w:sz w:val="22"/>
          <w:szCs w:val="22"/>
        </w:rPr>
        <w:t xml:space="preserve">The connector maintains no local state files. All pycti create() calls are idempotent on their primary identifiers. When an object already exists, the API returns the existing object's ID. The only in-process state is the TTL-bounded entity cache.</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3.4 Analytical Integrity Over Volume</w:t>
      </w:r>
    </w:p>
    <w:p>
      <w:pPr>
        <w:spacing w:before="80" w:after="80"/>
      </w:pPr>
      <w:r>
        <w:rPr>
          <w:rFonts w:ascii="Arial" w:cs="Arial" w:eastAsia="Arial" w:hAnsi="Arial"/>
          <w:color w:val="2E2E2E"/>
          <w:sz w:val="22"/>
          <w:szCs w:val="22"/>
        </w:rPr>
        <w:t xml:space="preserve">A four-stage tag routing pipeline applies data quality gates before any graph write. Tags that describe file types, CPU architectures, encoding schemes, or operational infrastructure are suppressed or routed to the correct entity type. A smaller graph with high analytical confidence is more valuable than a larger graph contaminated with spurious entities.</w:t>
      </w:r>
    </w:p>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4. Tag Routing Pipeline</w:t>
      </w:r>
    </w:p>
    <w:p>
      <w:pPr>
        <w:spacing w:before="80" w:after="80"/>
      </w:pPr>
      <w:r>
        <w:rPr>
          <w:rFonts w:ascii="Arial" w:cs="Arial" w:eastAsia="Arial" w:hAnsi="Arial"/>
          <w:color w:val="2E2E2E"/>
          <w:sz w:val="22"/>
          <w:szCs w:val="22"/>
        </w:rPr>
        <w:t xml:space="preserve">URLHaus threat tags are submitted by community members and serve multiple purposes: malware family identification, file type labeling, CPU architecture annotation, tool abuse marking, and sensor attribution. The connector applies a four-stage pipeline to route each tag to the correct entity type or suppress it entirely.</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4.1 Stage 1 — Normalization and Suppression</w:t>
      </w:r>
    </w:p>
    <w:p>
      <w:pPr>
        <w:spacing w:before="80" w:after="80"/>
      </w:pPr>
      <w:r>
        <w:rPr>
          <w:rFonts w:ascii="Arial" w:cs="Arial" w:eastAsia="Arial" w:hAnsi="Arial"/>
          <w:color w:val="2E2E2E"/>
          <w:sz w:val="22"/>
          <w:szCs w:val="22"/>
        </w:rPr>
        <w:t xml:space="preserve">Raw tags are normalized: underscores and hyphens replaced with spaces, leading/trailing whitespace stripped, result title-cased. The normalized form is then checked against:</w:t>
      </w:r>
    </w:p>
    <w:p>
      <w:pPr>
        <w:spacing w:before="40" w:after="40"/>
      </w:pPr>
      <w:r>
        <w:rPr>
          <w:sz w:val="22"/>
          <w:szCs w:val="22"/>
        </w:rPr>
        <w:t xml:space="preserve"/>
      </w:r>
    </w:p>
    <w:p>
      <w:pPr>
        <w:pStyle w:val="ListParagraph"/>
        <w:numPr>
          <w:ilvl w:val="0"/>
          <w:numId w:val="2"/>
        </w:numPr>
        <w:spacing w:before="40" w:after="40"/>
      </w:pPr>
      <w:r>
        <w:rPr>
          <w:rFonts w:ascii="Arial" w:cs="Arial" w:eastAsia="Arial" w:hAnsi="Arial"/>
          <w:b w:val="false"/>
          <w:bCs w:val="false"/>
          <w:color w:val="2E2E2E"/>
          <w:sz w:val="22"/>
          <w:szCs w:val="22"/>
        </w:rPr>
        <w:t xml:space="preserve">TAG_BLOCKLIST — a frozenset of title-cased strings. Tags matching any entry are dropped with no entity created.</w:t>
      </w:r>
    </w:p>
    <w:p>
      <w:pPr>
        <w:pStyle w:val="ListParagraph"/>
        <w:numPr>
          <w:ilvl w:val="0"/>
          <w:numId w:val="2"/>
        </w:numPr>
        <w:spacing w:before="40" w:after="40"/>
      </w:pPr>
      <w:r>
        <w:rPr>
          <w:rFonts w:ascii="Arial" w:cs="Arial" w:eastAsia="Arial" w:hAnsi="Arial"/>
          <w:b w:val="false"/>
          <w:bCs w:val="false"/>
          <w:color w:val="2E2E2E"/>
          <w:sz w:val="22"/>
          <w:szCs w:val="22"/>
        </w:rPr>
        <w:t xml:space="preserve">_BLOCKLIST_PREFIXES — compiled regex patterns for open-ended tag families:</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Tags</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Pw *</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pw_4492, pw_cyrex, pw_update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URLHaus internal tracking artifacts with arbitrary suffixes. Not malware families.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Dropped By *</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dropped_by_amadey, dropped_by_phorpiex</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Dropper chain provenance labels. The dropper family (Amadey, Phorpiex) is modeled separately if present as its own tag.</w:t>
            </w:r>
          </w:p>
        </w:tc>
      </w:tr>
    </w:tbl>
    <w:p>
      <w:pPr>
        <w:spacing w:before="40" w:after="40"/>
      </w:pPr>
      <w:r>
        <w:rPr>
          <w:sz w:val="22"/>
          <w:szCs w:val="22"/>
        </w:rPr>
        <w:t xml:space="preserve"/>
      </w:r>
    </w:p>
    <w:p>
      <w:pPr>
        <w:spacing w:before="80" w:after="80"/>
      </w:pPr>
      <w:r>
        <w:rPr>
          <w:rFonts w:ascii="Arial" w:cs="Arial" w:eastAsia="Arial" w:hAnsi="Arial"/>
          <w:color w:val="2E2E2E"/>
          <w:sz w:val="22"/>
          <w:szCs w:val="22"/>
        </w:rPr>
        <w:t xml:space="preserve">TAG_BLOCKLIST categories:</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File type extensions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Exe, Dll, Js, Vbs, Ps1, Bat, Sh, Elf, Hta, Msi, Apk, Jar, Zip, Rar, Pdf, Lnk</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CPU architectures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Arm, Mips, Mipsel, X86, X86 64, Powerpc, Sparc, M68K, Superh, 32 Bit, 64 Bit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Encoding descriptors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Base64, Ascii, Encoded, Encrypted</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Scripting languages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Lua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Hosting / delivery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Opendir, Phishing, Spam, Botnetdomain, Payload</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Generic labels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Malware, Rat, Honeypot</w:t>
            </w:r>
          </w:p>
        </w:tc>
      </w:tr>
    </w:tbl>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IMPORTANT</w:t>
            </w:r>
          </w:p>
        </w:tc>
        <w:tc>
          <w:tcPr>
            <w:tcW w:type="dxa" w:w="7920"/>
            <w:tcBorders>
              <w:top w:val="single" w:color="BBBBBB" w:sz="1"/>
              <w:left w:val="none" w:color="FFFFFF" w:sz="0"/>
              <w:bottom w:val="single" w:color="BBBBBB" w:sz="1"/>
              <w:right w:val="single" w:color="BBBBBB" w:sz="1"/>
            </w:tcBorders>
            <w:shd w:fill="EBF3FB" w:val="clear"/>
            <w:tcMar>
              <w:top w:type="dxa" w:w="100"/>
              <w:left w:type="dxa" w:w="160"/>
              <w:bottom w:type="dxa" w:w="100"/>
              <w:right w:type="dxa" w:w="160"/>
            </w:tcMar>
          </w:tcPr>
          <w:p>
            <w:r>
              <w:rPr>
                <w:rFonts w:ascii="Arial" w:cs="Arial" w:eastAsia="Arial" w:hAnsi="Arial"/>
                <w:color w:val="2E2E2E"/>
                <w:sz w:val="20"/>
                <w:szCs w:val="20"/>
              </w:rPr>
              <w:t xml:space="preserve">CPU architecture tags were added to the blocklist after initial deployment produced spurious Malware entities named 'Arm', 'Mips', 'X86', 'Sparc', 'M68K', 'Powerpc', 'Superh', and '32 Bit'. These were discovered during a post-run Malware entity audit and deleted manually. The blocklist was then expanded to prevent recurrence.</w:t>
            </w:r>
          </w:p>
        </w:tc>
      </w:tr>
    </w:tbl>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4.2 Stage 2 — Tool Routing (TAG_TOOL_MAP)</w:t>
      </w:r>
    </w:p>
    <w:p>
      <w:pPr>
        <w:spacing w:before="80" w:after="80"/>
      </w:pPr>
      <w:r>
        <w:rPr>
          <w:rFonts w:ascii="Arial" w:cs="Arial" w:eastAsia="Arial" w:hAnsi="Arial"/>
          <w:color w:val="2E2E2E"/>
          <w:sz w:val="22"/>
          <w:szCs w:val="22"/>
        </w:rPr>
        <w:t xml:space="preserve">Tags that survive Stage 1 are checked against TAG_TOOL_MAP. Matching tags produce Tool SDOs representing legitimate software abused by threat actors. Tool entities are linked to URL and host observables via related-to relationships and included in the daily Report container.</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Normalized Tag</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Canonical Tool Name</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Connectwise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ConnectWise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Legitimate RMM platform. Frequently abused for post-compromise persistence and remote access.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Rmm</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Remote Monitoring and Management (RMM)</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Generic RMM category. Used when the specific product is unidentified.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Github</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GitHub</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Code hosting platform abused for payload staging and dead-drop resolution.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Ua Wget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wget</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Command-line downloader. Abused in shell scripts and dropper chains to retrieve payloads.</w:t>
            </w:r>
          </w:p>
        </w:tc>
      </w:tr>
    </w:tbl>
    <w:p>
      <w:pPr>
        <w:spacing w:before="40" w:after="40"/>
      </w:pPr>
      <w:r>
        <w:rPr>
          <w:sz w:val="22"/>
          <w:szCs w:val="22"/>
        </w:rPr>
        <w:t xml:space="preserve"/>
      </w:r>
    </w:p>
    <w:p>
      <w:pPr>
        <w:spacing w:before="80" w:after="80"/>
      </w:pPr>
      <w:r>
        <w:rPr>
          <w:rFonts w:ascii="Arial" w:cs="Arial" w:eastAsia="Arial" w:hAnsi="Arial"/>
          <w:color w:val="2E2E2E"/>
          <w:sz w:val="22"/>
          <w:szCs w:val="22"/>
        </w:rPr>
        <w:t xml:space="preserve">Tool entities are created with confidence 75 and TLP:CLEAR. The same TTL-aware cache and graph-lookup-then-create pattern used for Malware SDOs is applied.</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4.3 Stage 3 — Software Routing (TAG_SOFTWARE_MAP)</w:t>
      </w:r>
    </w:p>
    <w:p>
      <w:pPr>
        <w:spacing w:before="80" w:after="80"/>
      </w:pPr>
      <w:r>
        <w:rPr>
          <w:rFonts w:ascii="Arial" w:cs="Arial" w:eastAsia="Arial" w:hAnsi="Arial"/>
          <w:color w:val="2E2E2E"/>
          <w:sz w:val="22"/>
          <w:szCs w:val="22"/>
        </w:rPr>
        <w:t xml:space="preserve">Tags not matched by TAG_TOOL_MAP are checked against TAG_SOFTWARE_MAP. Matching tags produce Software observables representing specific tools or frameworks observed in the threat context that are not themselves malicious.</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Normalized Tag</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Canonical Name</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Cowrie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Cowrie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Open-source SSH/Telnet honeypot framework. Used by URLHaus community members as a submission sensor. Modeled as Software (observable) not Tool (SDO) because it is detection infrastructure, not an offensive capability.</w:t>
            </w:r>
          </w:p>
        </w:tc>
      </w:tr>
    </w:tbl>
    <w:p>
      <w:pPr>
        <w:spacing w:before="40" w:after="40"/>
      </w:pPr>
      <w:r>
        <w:rPr>
          <w:sz w:val="22"/>
          <w:szCs w:val="22"/>
        </w:rPr>
        <w:t xml:space="preserve"/>
      </w:r>
    </w:p>
    <w:p>
      <w:pPr>
        <w:spacing w:before="80" w:after="80"/>
      </w:pPr>
      <w:r>
        <w:rPr>
          <w:rFonts w:ascii="Arial" w:cs="Arial" w:eastAsia="Arial" w:hAnsi="Arial"/>
          <w:color w:val="2E2E2E"/>
          <w:sz w:val="22"/>
          <w:szCs w:val="22"/>
        </w:rPr>
        <w:t xml:space="preserve">Software observables are assigned x_opencti_score: 0 to reflect their non-malicious nature. They are linked to URL and host observables via related-to relationships and included in the daily Report container.</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4.4 Stage 4 — Malware SDO (Default)</w:t>
      </w:r>
    </w:p>
    <w:p>
      <w:pPr>
        <w:spacing w:before="80" w:after="80"/>
      </w:pPr>
      <w:r>
        <w:rPr>
          <w:rFonts w:ascii="Arial" w:cs="Arial" w:eastAsia="Arial" w:hAnsi="Arial"/>
          <w:color w:val="2E2E2E"/>
          <w:sz w:val="22"/>
          <w:szCs w:val="22"/>
        </w:rPr>
        <w:t xml:space="preserve">Any tag that passes all three prior stages — not suppressed, not in TAG_TOOL_MAP, not in TAG_SOFTWARE_MAP — produces a Malware SDO with is_family=True. This is the default path for confirmed malware family names such as Emotet, Formbook, Cobalt Strike, and AsyncRAT.</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RATIONALE</w:t>
            </w:r>
          </w:p>
        </w:tc>
        <w:tc>
          <w:tcPr>
            <w:tcW w:type="dxa" w:w="7920"/>
            <w:tcBorders>
              <w:top w:val="single" w:color="BBBBBB" w:sz="1"/>
              <w:left w:val="none" w:color="FFFFFF" w:sz="0"/>
              <w:bottom w:val="single" w:color="BBBBBB" w:sz="1"/>
              <w:right w:val="single" w:color="BBBBBB" w:sz="1"/>
            </w:tcBorders>
            <w:shd w:fill="EBF3FB" w:val="clear"/>
            <w:tcMar>
              <w:top w:type="dxa" w:w="100"/>
              <w:left w:type="dxa" w:w="160"/>
              <w:bottom w:type="dxa" w:w="100"/>
              <w:right w:type="dxa" w:w="160"/>
            </w:tcMar>
          </w:tcPr>
          <w:p>
            <w:r>
              <w:rPr>
                <w:rFonts w:ascii="Arial" w:cs="Arial" w:eastAsia="Arial" w:hAnsi="Arial"/>
                <w:color w:val="2E2E2E"/>
                <w:sz w:val="20"/>
                <w:szCs w:val="20"/>
              </w:rPr>
              <w:t xml:space="preserve">The Tool and Software routing stages were added after a post-deployment Malware entity audit revealed that tags for legitimate abused tools (ConnectWise, wget, GitHub) and honeypot sensors (Cowrie) were producing Malware SDOs. Routing these tags to the correct entity type required creating TAG_TOOL_MAP and TAG_SOFTWARE_MAP rather than simply adding them to the blocklist, because these tags carry genuine analytical value — they indicate which tools were observed in a malware distribution context and should produce graph entities with relationships to the observed URLs.</w:t>
            </w:r>
          </w:p>
        </w:tc>
      </w:tr>
    </w:tbl>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4.5 Payload Signature Routing</w:t>
      </w:r>
    </w:p>
    <w:p>
      <w:pPr>
        <w:spacing w:before="80" w:after="80"/>
      </w:pPr>
      <w:r>
        <w:rPr>
          <w:rFonts w:ascii="Arial" w:cs="Arial" w:eastAsia="Arial" w:hAnsi="Arial"/>
          <w:color w:val="2E2E2E"/>
          <w:sz w:val="22"/>
          <w:szCs w:val="22"/>
        </w:rPr>
        <w:t xml:space="preserve">The signature field on payload entries bypasses the Tool and Software routing stages. Payload signatures are assigned by the abuse.ch classification pipeline, not user-submitted community tags, and represent malware family classifications. They are always routed to Malware SDOs. The same normalize_tag() normalization and TAG_BLOCKLIST filter applies.</w:t>
      </w:r>
    </w:p>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5. Data Model</w:t>
      </w:r>
    </w:p>
    <w:p>
      <w:pPr>
        <w:pStyle w:val="Heading2"/>
        <w:spacing w:before="280" w:after="120"/>
      </w:pPr>
      <w:r>
        <w:rPr>
          <w:rFonts w:ascii="Arial" w:cs="Arial" w:eastAsia="Arial" w:hAnsi="Arial"/>
          <w:b/>
          <w:bCs/>
          <w:color w:val="1F4E79"/>
          <w:sz w:val="26"/>
          <w:szCs w:val="26"/>
        </w:rPr>
        <w:t xml:space="preserve">5.1 Container Strategy</w:t>
      </w:r>
    </w:p>
    <w:p>
      <w:pPr>
        <w:spacing w:before="80" w:after="80"/>
      </w:pPr>
      <w:r>
        <w:rPr>
          <w:rFonts w:ascii="Arial" w:cs="Arial" w:eastAsia="Arial" w:hAnsi="Arial"/>
          <w:color w:val="2E2E2E"/>
          <w:sz w:val="22"/>
          <w:szCs w:val="22"/>
        </w:rPr>
        <w:t xml:space="preserve">One Report container is created per calendar day (UTC). Containers are named:</w:t>
      </w:r>
    </w:p>
    <w:p>
      <w:pPr>
        <w:shd w:fill="EEF3F8" w:val="clear"/>
        <w:spacing w:before="40" w:after="40"/>
        <w:ind w:left="720"/>
      </w:pPr>
      <w:r>
        <w:rPr>
          <w:rFonts w:ascii="Courier New" w:cs="Courier New" w:eastAsia="Courier New" w:hAnsi="Courier New"/>
          <w:color w:val="1F4E79"/>
          <w:sz w:val="19"/>
          <w:szCs w:val="19"/>
        </w:rPr>
        <w:t xml:space="preserve">URLHaus Feed — YYYY-MM-DD</w:t>
      </w:r>
    </w:p>
    <w:p>
      <w:pPr>
        <w:spacing w:before="40" w:after="40"/>
      </w:pPr>
      <w:r>
        <w:rPr>
          <w:sz w:val="22"/>
          <w:szCs w:val="22"/>
        </w:rPr>
        <w:t xml:space="preserve"/>
      </w:r>
    </w:p>
    <w:p>
      <w:pPr>
        <w:spacing w:before="80" w:after="80"/>
      </w:pPr>
      <w:r>
        <w:rPr>
          <w:rFonts w:ascii="Arial" w:cs="Arial" w:eastAsia="Arial" w:hAnsi="Arial"/>
          <w:color w:val="2E2E2E"/>
          <w:sz w:val="22"/>
          <w:szCs w:val="22"/>
        </w:rPr>
        <w:t xml:space="preserve">Containers are idempotent on name. If the connector runs more than once on the same day, the existing container is found by name lookup and reused. All Report containers use report_types: [threat-report], createdBy: abuse.ch, objectMarking: [TLP:CLEAR], confidence: 75.</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5.2 Object Model — URL Entries</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 Type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STIX Type</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URL Observable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Url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Always — one per URL entry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Host Observable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IPv4-Addr</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When host is a valid IPv4 address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Host Observable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IPv6-Addr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When host is a valid IPv6 address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Host Observable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Domain-Name</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When host is a domain name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Malware SDO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Malware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Per tag passing Stage 1 filter and not in Tool/Software maps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Tool SDO</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Tool</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Per tag matching TAG_TOOL_MAP</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Software Observable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Software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Per tag matching TAG_SOFTWARE_MAP</w:t>
            </w:r>
          </w:p>
        </w:tc>
      </w:tr>
    </w:tbl>
    <w:p>
      <w:pPr>
        <w:spacing w:before="40" w:after="40"/>
      </w:pPr>
      <w:r>
        <w:rPr>
          <w:sz w:val="22"/>
          <w:szCs w:val="22"/>
        </w:rPr>
        <w:t xml:space="preserve"/>
      </w:r>
    </w:p>
    <w:p>
      <w:pPr>
        <w:spacing w:before="80" w:after="80"/>
      </w:pPr>
      <w:r>
        <w:rPr>
          <w:rFonts w:ascii="Arial" w:cs="Arial" w:eastAsia="Arial" w:hAnsi="Arial"/>
          <w:color w:val="2E2E2E"/>
          <w:sz w:val="22"/>
          <w:szCs w:val="22"/>
        </w:rPr>
        <w:t xml:space="preserve">Relationships per URL entry (all type: related-to):</w:t>
      </w:r>
    </w:p>
    <w:p>
      <w:pPr>
        <w:pStyle w:val="ListParagraph"/>
        <w:numPr>
          <w:ilvl w:val="0"/>
          <w:numId w:val="2"/>
        </w:numPr>
        <w:spacing w:before="40" w:after="40"/>
      </w:pPr>
      <w:r>
        <w:rPr>
          <w:rFonts w:ascii="Arial" w:cs="Arial" w:eastAsia="Arial" w:hAnsi="Arial"/>
          <w:b w:val="false"/>
          <w:bCs w:val="false"/>
          <w:color w:val="2E2E2E"/>
          <w:sz w:val="22"/>
          <w:szCs w:val="22"/>
        </w:rPr>
        <w:t xml:space="preserve">URL → abuse.ch</w:t>
      </w:r>
    </w:p>
    <w:p>
      <w:pPr>
        <w:pStyle w:val="ListParagraph"/>
        <w:numPr>
          <w:ilvl w:val="0"/>
          <w:numId w:val="2"/>
        </w:numPr>
        <w:spacing w:before="40" w:after="40"/>
      </w:pPr>
      <w:r>
        <w:rPr>
          <w:rFonts w:ascii="Arial" w:cs="Arial" w:eastAsia="Arial" w:hAnsi="Arial"/>
          <w:b w:val="false"/>
          <w:bCs w:val="false"/>
          <w:color w:val="2E2E2E"/>
          <w:sz w:val="22"/>
          <w:szCs w:val="22"/>
        </w:rPr>
        <w:t xml:space="preserve">URL → Host</w:t>
      </w:r>
    </w:p>
    <w:p>
      <w:pPr>
        <w:pStyle w:val="ListParagraph"/>
        <w:numPr>
          <w:ilvl w:val="0"/>
          <w:numId w:val="2"/>
        </w:numPr>
        <w:spacing w:before="40" w:after="40"/>
      </w:pPr>
      <w:r>
        <w:rPr>
          <w:rFonts w:ascii="Arial" w:cs="Arial" w:eastAsia="Arial" w:hAnsi="Arial"/>
          <w:b w:val="false"/>
          <w:bCs w:val="false"/>
          <w:color w:val="2E2E2E"/>
          <w:sz w:val="22"/>
          <w:szCs w:val="22"/>
        </w:rPr>
        <w:t xml:space="preserve">Host → abuse.ch</w:t>
      </w:r>
    </w:p>
    <w:p>
      <w:pPr>
        <w:pStyle w:val="ListParagraph"/>
        <w:numPr>
          <w:ilvl w:val="0"/>
          <w:numId w:val="2"/>
        </w:numPr>
        <w:spacing w:before="40" w:after="40"/>
      </w:pPr>
      <w:r>
        <w:rPr>
          <w:rFonts w:ascii="Arial" w:cs="Arial" w:eastAsia="Arial" w:hAnsi="Arial"/>
          <w:b w:val="false"/>
          <w:bCs w:val="false"/>
          <w:color w:val="2E2E2E"/>
          <w:sz w:val="22"/>
          <w:szCs w:val="22"/>
        </w:rPr>
        <w:t xml:space="preserve">URL → Malware / Tool / Software (one per accepted tag)</w:t>
      </w:r>
    </w:p>
    <w:p>
      <w:pPr>
        <w:pStyle w:val="ListParagraph"/>
        <w:numPr>
          <w:ilvl w:val="0"/>
          <w:numId w:val="2"/>
        </w:numPr>
        <w:spacing w:before="40" w:after="40"/>
      </w:pPr>
      <w:r>
        <w:rPr>
          <w:rFonts w:ascii="Arial" w:cs="Arial" w:eastAsia="Arial" w:hAnsi="Arial"/>
          <w:b w:val="false"/>
          <w:bCs w:val="false"/>
          <w:color w:val="2E2E2E"/>
          <w:sz w:val="22"/>
          <w:szCs w:val="22"/>
        </w:rPr>
        <w:t xml:space="preserve">Host → Malware / Tool / Software (one per accepted tag)</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5.3 Object Model — Payload Entries</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 Type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STIX Type</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File Observable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StixFile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Always — requires non-empty SHA-256 hash</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Malware SDO</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Malware</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From signature field, if non-empty and not blocklisted</w:t>
            </w:r>
          </w:p>
        </w:tc>
      </w:tr>
    </w:tbl>
    <w:p>
      <w:pPr>
        <w:spacing w:before="40" w:after="40"/>
      </w:pPr>
      <w:r>
        <w:rPr>
          <w:sz w:val="22"/>
          <w:szCs w:val="22"/>
        </w:rPr>
        <w:t xml:space="preserve"/>
      </w:r>
    </w:p>
    <w:p>
      <w:pPr>
        <w:spacing w:before="80" w:after="80"/>
      </w:pPr>
      <w:r>
        <w:rPr>
          <w:rFonts w:ascii="Arial" w:cs="Arial" w:eastAsia="Arial" w:hAnsi="Arial"/>
          <w:color w:val="2E2E2E"/>
          <w:sz w:val="22"/>
          <w:szCs w:val="22"/>
        </w:rPr>
        <w:t xml:space="preserve">Relationships per payload entry:</w:t>
      </w:r>
    </w:p>
    <w:p>
      <w:pPr>
        <w:pStyle w:val="ListParagraph"/>
        <w:numPr>
          <w:ilvl w:val="0"/>
          <w:numId w:val="2"/>
        </w:numPr>
        <w:spacing w:before="40" w:after="40"/>
      </w:pPr>
      <w:r>
        <w:rPr>
          <w:rFonts w:ascii="Arial" w:cs="Arial" w:eastAsia="Arial" w:hAnsi="Arial"/>
          <w:b w:val="false"/>
          <w:bCs w:val="false"/>
          <w:color w:val="2E2E2E"/>
          <w:sz w:val="22"/>
          <w:szCs w:val="22"/>
        </w:rPr>
        <w:t xml:space="preserve">File → abuse.ch</w:t>
      </w:r>
    </w:p>
    <w:p>
      <w:pPr>
        <w:pStyle w:val="ListParagraph"/>
        <w:numPr>
          <w:ilvl w:val="0"/>
          <w:numId w:val="2"/>
        </w:numPr>
        <w:spacing w:before="40" w:after="40"/>
      </w:pPr>
      <w:r>
        <w:rPr>
          <w:rFonts w:ascii="Arial" w:cs="Arial" w:eastAsia="Arial" w:hAnsi="Arial"/>
          <w:b w:val="false"/>
          <w:bCs w:val="false"/>
          <w:color w:val="2E2E2E"/>
          <w:sz w:val="22"/>
          <w:szCs w:val="22"/>
        </w:rPr>
        <w:t xml:space="preserve">File → Malware (from signature field)</w:t>
      </w:r>
    </w:p>
    <w:p>
      <w:pPr>
        <w:pStyle w:val="ListParagraph"/>
        <w:numPr>
          <w:ilvl w:val="0"/>
          <w:numId w:val="2"/>
        </w:numPr>
        <w:spacing w:before="40" w:after="40"/>
      </w:pPr>
      <w:r>
        <w:rPr>
          <w:rFonts w:ascii="Arial" w:cs="Arial" w:eastAsia="Arial" w:hAnsi="Arial"/>
          <w:b w:val="false"/>
          <w:bCs w:val="false"/>
          <w:color w:val="2E2E2E"/>
          <w:sz w:val="22"/>
          <w:szCs w:val="22"/>
        </w:rPr>
        <w:t xml:space="preserve">File → URL (same-run only — see Section 5.5)</w:t>
      </w:r>
    </w:p>
    <w:p>
      <w:pPr>
        <w:spacing w:before="40" w:after="40"/>
      </w:pPr>
      <w:r>
        <w:rPr>
          <w:sz w:val="22"/>
          <w:szCs w:val="22"/>
        </w:rPr>
        <w:t xml:space="preserve"/>
      </w:r>
    </w:p>
    <w:p>
      <w:pPr>
        <w:spacing w:before="80" w:after="80"/>
      </w:pPr>
      <w:r>
        <w:rPr>
          <w:rFonts w:ascii="Arial" w:cs="Arial" w:eastAsia="Arial" w:hAnsi="Arial"/>
          <w:color w:val="2E2E2E"/>
          <w:sz w:val="22"/>
          <w:szCs w:val="22"/>
        </w:rPr>
        <w:t xml:space="preserve">Tool and Software routing does not apply to payload signatures. See Section 4.5.</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5.4 Relationship Validation</w:t>
      </w:r>
    </w:p>
    <w:p>
      <w:pPr>
        <w:spacing w:before="80" w:after="80"/>
      </w:pPr>
      <w:r>
        <w:rPr>
          <w:rFonts w:ascii="Arial" w:cs="Arial" w:eastAsia="Arial" w:hAnsi="Arial"/>
          <w:color w:val="2E2E2E"/>
          <w:sz w:val="22"/>
          <w:szCs w:val="22"/>
        </w:rPr>
        <w:t xml:space="preserve">All relationships are validated against the authoritative Data Model Relationship Guide:</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Entity</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Entity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Observable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Related To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Malware (line 41 of guide)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Observable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Related To</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Organization (Any → Any generalization)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Observable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Related To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Observable (Any → Any generalization)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Observable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Related To</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Tool (Any → Any generalization)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Observable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Related To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Software (Any → Any generalization)</w:t>
            </w:r>
          </w:p>
        </w:tc>
      </w:tr>
    </w:tbl>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5.5 File→URL Scoping Constraint</w:t>
      </w:r>
    </w:p>
    <w:p>
      <w:pPr>
        <w:spacing w:before="80" w:after="80"/>
      </w:pPr>
      <w:r>
        <w:rPr>
          <w:rFonts w:ascii="Arial" w:cs="Arial" w:eastAsia="Arial" w:hAnsi="Arial"/>
          <w:color w:val="2E2E2E"/>
          <w:sz w:val="22"/>
          <w:szCs w:val="22"/>
        </w:rPr>
        <w:t xml:space="preserve">The File → related-to → URL link is created only when both the URL (online status) and its payload appear in the same run's ingestion window. This prevents creating relationships between payloads and URLs that were offline at ingestion time.</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5.6 Identity Attribution</w:t>
      </w:r>
    </w:p>
    <w:p>
      <w:pPr>
        <w:spacing w:before="80" w:after="80"/>
      </w:pPr>
      <w:r>
        <w:rPr>
          <w:rFonts w:ascii="Arial" w:cs="Arial" w:eastAsia="Arial" w:hAnsi="Arial"/>
          <w:color w:val="2E2E2E"/>
          <w:sz w:val="22"/>
          <w:szCs w:val="22"/>
        </w:rPr>
        <w:t xml:space="preserve">All objects are attributed to the abuse.ch Organization identity via createdBy. This identity is resolved at startup by name lookup, reusing any entity created by the ThreatFox connector. Exactly one abuse.ch Organization exists in the graph regardless of which abuse.ch connector starts first.</w:t>
      </w:r>
    </w:p>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6. Entity Caches</w:t>
      </w:r>
    </w:p>
    <w:p>
      <w:pPr>
        <w:spacing w:before="80" w:after="80"/>
      </w:pPr>
      <w:r>
        <w:rPr>
          <w:rFonts w:ascii="Arial" w:cs="Arial" w:eastAsia="Arial" w:hAnsi="Arial"/>
          <w:color w:val="2E2E2E"/>
          <w:sz w:val="22"/>
          <w:szCs w:val="22"/>
        </w:rPr>
        <w:t xml:space="preserve">Three separate TTL-aware in-process caches prevent redundant API round-trips within and across runs:</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Cache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_malware_cache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Normalized tag name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(opencti_id, monotonic_timestamp)</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_tool_cache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Canonical Tool name</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(opencti_id, monotonic_timestamp)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_software_cache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Canonical Software name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(opencti_id, monotonic_timestamp)</w:t>
            </w:r>
          </w:p>
        </w:tc>
      </w:tr>
    </w:tbl>
    <w:p>
      <w:pPr>
        <w:spacing w:before="40" w:after="40"/>
      </w:pPr>
      <w:r>
        <w:rPr>
          <w:sz w:val="22"/>
          <w:szCs w:val="22"/>
        </w:rPr>
        <w:t xml:space="preserve"/>
      </w:r>
    </w:p>
    <w:p>
      <w:pPr>
        <w:spacing w:before="80" w:after="80"/>
      </w:pPr>
      <w:r>
        <w:rPr>
          <w:rFonts w:ascii="Arial" w:cs="Arial" w:eastAsia="Arial" w:hAnsi="Arial"/>
          <w:color w:val="2E2E2E"/>
          <w:sz w:val="22"/>
          <w:szCs w:val="22"/>
        </w:rPr>
        <w:t xml:space="preserve">All three caches share a 24-hour TTL (MALWARE_CACHE_TTL_SECONDS). Expired entries trigger a fresh graph lookup to reflect analyst merges, renames, or deletions made since the entry was cached. Caches are lost on process restart and repopulate from graph lookups on the next run.</w:t>
      </w:r>
    </w:p>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7. API Client and Retry Behaviour</w:t>
      </w:r>
    </w:p>
    <w:p>
      <w:pPr>
        <w:spacing w:before="80" w:after="80"/>
      </w:pPr>
      <w:r>
        <w:rPr>
          <w:rFonts w:ascii="Arial" w:cs="Arial" w:eastAsia="Arial" w:hAnsi="Arial"/>
          <w:color w:val="2E2E2E"/>
          <w:sz w:val="22"/>
          <w:szCs w:val="22"/>
        </w:rPr>
        <w:t xml:space="preserve">Auth-Key is set at session level. All requests use GET. Retry policy:</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Connection error, Timeout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Retry — always retryable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429, 500, 502, 503, 504</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Retry — transient server errors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401, 403, 404, other 4xx</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Raise immediately — configuration error, retrying will not help</w:t>
            </w:r>
          </w:p>
        </w:tc>
      </w:tr>
    </w:tbl>
    <w:p>
      <w:pPr>
        <w:spacing w:before="40" w:after="40"/>
      </w:pPr>
      <w:r>
        <w:rPr>
          <w:sz w:val="22"/>
          <w:szCs w:val="22"/>
        </w:rPr>
        <w:t xml:space="preserve"/>
      </w:r>
    </w:p>
    <w:p>
      <w:pPr>
        <w:spacing w:before="80" w:after="80"/>
      </w:pPr>
      <w:r>
        <w:rPr>
          <w:rFonts w:ascii="Arial" w:cs="Arial" w:eastAsia="Arial" w:hAnsi="Arial"/>
          <w:color w:val="2E2E2E"/>
          <w:sz w:val="22"/>
          <w:szCs w:val="22"/>
        </w:rPr>
        <w:t xml:space="preserve">Delays: 2s (attempt 1), 4s (attempt 2), 8s (attempt 3). Maximum 3 retries before raising.</w:t>
      </w:r>
    </w:p>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8. Run Lifecycle</w:t>
      </w:r>
    </w:p>
    <w:p>
      <w:pPr>
        <w:pStyle w:val="Heading2"/>
        <w:spacing w:before="280" w:after="120"/>
      </w:pPr>
      <w:r>
        <w:rPr>
          <w:rFonts w:ascii="Arial" w:cs="Arial" w:eastAsia="Arial" w:hAnsi="Arial"/>
          <w:b/>
          <w:bCs/>
          <w:color w:val="1F4E79"/>
          <w:sz w:val="26"/>
          <w:szCs w:val="26"/>
        </w:rPr>
        <w:t xml:space="preserve">8.1 Startup Sequence</w:t>
      </w:r>
    </w:p>
    <w:p>
      <w:pPr>
        <w:pStyle w:val="ListParagraph"/>
        <w:numPr>
          <w:ilvl w:val="0"/>
          <w:numId w:val="3"/>
        </w:numPr>
        <w:spacing w:before="60" w:after="60"/>
      </w:pPr>
      <w:r>
        <w:rPr>
          <w:rFonts w:ascii="Arial" w:cs="Arial" w:eastAsia="Arial" w:hAnsi="Arial"/>
          <w:b/>
          <w:bCs/>
          <w:color w:val="2E2E2E"/>
          <w:sz w:val="22"/>
          <w:szCs w:val="22"/>
        </w:rPr>
        <w:t xml:space="preserve">pycti helper initialisation. </w:t>
      </w:r>
      <w:r>
        <w:rPr>
          <w:rFonts w:ascii="Arial" w:cs="Arial" w:eastAsia="Arial" w:hAnsi="Arial"/>
          <w:color w:val="2E2E2E"/>
          <w:sz w:val="22"/>
          <w:szCs w:val="22"/>
        </w:rPr>
        <w:t xml:space="preserve">Registers connector with OpenCTI.</w:t>
      </w:r>
    </w:p>
    <w:p>
      <w:pPr>
        <w:pStyle w:val="ListParagraph"/>
        <w:numPr>
          <w:ilvl w:val="0"/>
          <w:numId w:val="3"/>
        </w:numPr>
        <w:spacing w:before="60" w:after="60"/>
      </w:pPr>
      <w:r>
        <w:rPr>
          <w:rFonts w:ascii="Arial" w:cs="Arial" w:eastAsia="Arial" w:hAnsi="Arial"/>
          <w:b/>
          <w:bCs/>
          <w:color w:val="2E2E2E"/>
          <w:sz w:val="22"/>
          <w:szCs w:val="22"/>
        </w:rPr>
        <w:t xml:space="preserve">TLP:CLEAR resolution. </w:t>
      </w:r>
      <w:r>
        <w:rPr>
          <w:rFonts w:ascii="Arial" w:cs="Arial" w:eastAsia="Arial" w:hAnsi="Arial"/>
          <w:color w:val="2E2E2E"/>
          <w:sz w:val="22"/>
          <w:szCs w:val="22"/>
        </w:rPr>
        <w:t xml:space="preserve">Hard failure if not found.</w:t>
      </w:r>
    </w:p>
    <w:p>
      <w:pPr>
        <w:pStyle w:val="ListParagraph"/>
        <w:numPr>
          <w:ilvl w:val="0"/>
          <w:numId w:val="3"/>
        </w:numPr>
        <w:spacing w:before="60" w:after="60"/>
      </w:pPr>
      <w:r>
        <w:rPr>
          <w:rFonts w:ascii="Arial" w:cs="Arial" w:eastAsia="Arial" w:hAnsi="Arial"/>
          <w:b/>
          <w:bCs/>
          <w:color w:val="2E2E2E"/>
          <w:sz w:val="22"/>
          <w:szCs w:val="22"/>
        </w:rPr>
        <w:t xml:space="preserve">abuse.ch identity resolution. </w:t>
      </w:r>
      <w:r>
        <w:rPr>
          <w:rFonts w:ascii="Arial" w:cs="Arial" w:eastAsia="Arial" w:hAnsi="Arial"/>
          <w:color w:val="2E2E2E"/>
          <w:sz w:val="22"/>
          <w:szCs w:val="22"/>
        </w:rPr>
        <w:t xml:space="preserve">Name lookup; creates if absent.</w:t>
      </w:r>
    </w:p>
    <w:p>
      <w:pPr>
        <w:pStyle w:val="ListParagraph"/>
        <w:numPr>
          <w:ilvl w:val="0"/>
          <w:numId w:val="3"/>
        </w:numPr>
        <w:spacing w:before="60" w:after="60"/>
      </w:pPr>
      <w:r>
        <w:rPr>
          <w:rFonts w:ascii="Arial" w:cs="Arial" w:eastAsia="Arial" w:hAnsi="Arial"/>
          <w:b/>
          <w:bCs/>
          <w:color w:val="2E2E2E"/>
          <w:sz w:val="22"/>
          <w:szCs w:val="22"/>
        </w:rPr>
        <w:t xml:space="preserve">Tag routing log. </w:t>
      </w:r>
      <w:r>
        <w:rPr>
          <w:rFonts w:ascii="Arial" w:cs="Arial" w:eastAsia="Arial" w:hAnsi="Arial"/>
          <w:color w:val="2E2E2E"/>
          <w:sz w:val="22"/>
          <w:szCs w:val="22"/>
        </w:rPr>
        <w:t xml:space="preserve">Logs tool_tags, software_tags, blocked_tags, prefix_patterns at INFO.</w:t>
      </w:r>
    </w:p>
    <w:p>
      <w:pPr>
        <w:pStyle w:val="ListParagraph"/>
        <w:numPr>
          <w:ilvl w:val="0"/>
          <w:numId w:val="3"/>
        </w:numPr>
        <w:spacing w:before="60" w:after="60"/>
      </w:pPr>
      <w:r>
        <w:rPr>
          <w:rFonts w:ascii="Arial" w:cs="Arial" w:eastAsia="Arial" w:hAnsi="Arial"/>
          <w:b/>
          <w:bCs/>
          <w:color w:val="2E2E2E"/>
          <w:sz w:val="22"/>
          <w:szCs w:val="22"/>
        </w:rPr>
        <w:t xml:space="preserve">Startup guard. </w:t>
      </w:r>
      <w:r>
        <w:rPr>
          <w:rFonts w:ascii="Arial" w:cs="Arial" w:eastAsia="Arial" w:hAnsi="Arial"/>
          <w:color w:val="2E2E2E"/>
          <w:sz w:val="22"/>
          <w:szCs w:val="22"/>
        </w:rPr>
        <w:t xml:space="preserve">If URLHAUS_RUN_ON_STARTUP is false, sleeps one full interval before first run.</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8.2 Per-Run Sequence</w:t>
      </w:r>
    </w:p>
    <w:p>
      <w:pPr>
        <w:pStyle w:val="ListParagraph"/>
        <w:numPr>
          <w:ilvl w:val="0"/>
          <w:numId w:val="3"/>
        </w:numPr>
        <w:spacing w:before="60" w:after="60"/>
      </w:pPr>
      <w:r>
        <w:rPr>
          <w:rFonts w:ascii="Arial" w:cs="Arial" w:eastAsia="Arial" w:hAnsi="Arial"/>
          <w:b/>
          <w:bCs/>
          <w:color w:val="2E2E2E"/>
          <w:sz w:val="22"/>
          <w:szCs w:val="22"/>
        </w:rPr>
        <w:t xml:space="preserve">Work unit initiation.</w:t>
      </w:r>
    </w:p>
    <w:p>
      <w:pPr>
        <w:pStyle w:val="ListParagraph"/>
        <w:numPr>
          <w:ilvl w:val="0"/>
          <w:numId w:val="3"/>
        </w:numPr>
        <w:spacing w:before="60" w:after="60"/>
      </w:pPr>
      <w:r>
        <w:rPr>
          <w:rFonts w:ascii="Arial" w:cs="Arial" w:eastAsia="Arial" w:hAnsi="Arial"/>
          <w:b/>
          <w:bCs/>
          <w:color w:val="2E2E2E"/>
          <w:sz w:val="22"/>
          <w:szCs w:val="22"/>
        </w:rPr>
        <w:t xml:space="preserve">API fetch. </w:t>
      </w:r>
      <w:r>
        <w:rPr>
          <w:rFonts w:ascii="Arial" w:cs="Arial" w:eastAsia="Arial" w:hAnsi="Arial"/>
          <w:color w:val="2E2E2E"/>
          <w:sz w:val="22"/>
          <w:szCs w:val="22"/>
        </w:rPr>
        <w:t xml:space="preserve">GET /urls/recent/ and /payloads/recent/ with exponential backoff retry.</w:t>
      </w:r>
    </w:p>
    <w:p>
      <w:pPr>
        <w:pStyle w:val="ListParagraph"/>
        <w:numPr>
          <w:ilvl w:val="0"/>
          <w:numId w:val="3"/>
        </w:numPr>
        <w:spacing w:before="60" w:after="60"/>
      </w:pPr>
      <w:r>
        <w:rPr>
          <w:rFonts w:ascii="Arial" w:cs="Arial" w:eastAsia="Arial" w:hAnsi="Arial"/>
          <w:b/>
          <w:bCs/>
          <w:color w:val="2E2E2E"/>
          <w:sz w:val="22"/>
          <w:szCs w:val="22"/>
        </w:rPr>
        <w:t xml:space="preserve">Report container resolution. </w:t>
      </w:r>
      <w:r>
        <w:rPr>
          <w:rFonts w:ascii="Arial" w:cs="Arial" w:eastAsia="Arial" w:hAnsi="Arial"/>
          <w:color w:val="2E2E2E"/>
          <w:sz w:val="22"/>
          <w:szCs w:val="22"/>
        </w:rPr>
        <w:t xml:space="preserve">Find today's container by name or create it.</w:t>
      </w:r>
    </w:p>
    <w:p>
      <w:pPr>
        <w:pStyle w:val="ListParagraph"/>
        <w:numPr>
          <w:ilvl w:val="0"/>
          <w:numId w:val="3"/>
        </w:numPr>
        <w:spacing w:before="60" w:after="60"/>
      </w:pPr>
      <w:r>
        <w:rPr>
          <w:rFonts w:ascii="Arial" w:cs="Arial" w:eastAsia="Arial" w:hAnsi="Arial"/>
          <w:b/>
          <w:bCs/>
          <w:color w:val="2E2E2E"/>
          <w:sz w:val="22"/>
          <w:szCs w:val="22"/>
        </w:rPr>
        <w:t xml:space="preserve">URL entry ingestion. </w:t>
      </w:r>
      <w:r>
        <w:rPr>
          <w:rFonts w:ascii="Arial" w:cs="Arial" w:eastAsia="Arial" w:hAnsi="Arial"/>
          <w:color w:val="2E2E2E"/>
          <w:sz w:val="22"/>
          <w:szCs w:val="22"/>
        </w:rPr>
        <w:t xml:space="preserve">Per-entry: URL observable, host observable, tag routing pipeline (Malware / Tool / Software), relationships.</w:t>
      </w:r>
    </w:p>
    <w:p>
      <w:pPr>
        <w:pStyle w:val="ListParagraph"/>
        <w:numPr>
          <w:ilvl w:val="0"/>
          <w:numId w:val="3"/>
        </w:numPr>
        <w:spacing w:before="60" w:after="60"/>
      </w:pPr>
      <w:r>
        <w:rPr>
          <w:rFonts w:ascii="Arial" w:cs="Arial" w:eastAsia="Arial" w:hAnsi="Arial"/>
          <w:b/>
          <w:bCs/>
          <w:color w:val="2E2E2E"/>
          <w:sz w:val="22"/>
          <w:szCs w:val="22"/>
        </w:rPr>
        <w:t xml:space="preserve">Payload entry ingestion. </w:t>
      </w:r>
      <w:r>
        <w:rPr>
          <w:rFonts w:ascii="Arial" w:cs="Arial" w:eastAsia="Arial" w:hAnsi="Arial"/>
          <w:color w:val="2E2E2E"/>
          <w:sz w:val="22"/>
          <w:szCs w:val="22"/>
        </w:rPr>
        <w:t xml:space="preserve">Per-entry: File observable, Malware SDO from signature, File→URL link if same-run.</w:t>
      </w:r>
    </w:p>
    <w:p>
      <w:pPr>
        <w:pStyle w:val="ListParagraph"/>
        <w:numPr>
          <w:ilvl w:val="0"/>
          <w:numId w:val="3"/>
        </w:numPr>
        <w:spacing w:before="60" w:after="60"/>
      </w:pPr>
      <w:r>
        <w:rPr>
          <w:rFonts w:ascii="Arial" w:cs="Arial" w:eastAsia="Arial" w:hAnsi="Arial"/>
          <w:b/>
          <w:bCs/>
          <w:color w:val="2E2E2E"/>
          <w:sz w:val="22"/>
          <w:szCs w:val="22"/>
        </w:rPr>
        <w:t xml:space="preserve">Report linking. </w:t>
      </w:r>
      <w:r>
        <w:rPr>
          <w:rFonts w:ascii="Arial" w:cs="Arial" w:eastAsia="Arial" w:hAnsi="Arial"/>
          <w:color w:val="2E2E2E"/>
          <w:sz w:val="22"/>
          <w:szCs w:val="22"/>
        </w:rPr>
        <w:t xml:space="preserve">Link all collected object IDs to the daily Report container.</w:t>
      </w:r>
    </w:p>
    <w:p>
      <w:pPr>
        <w:pStyle w:val="ListParagraph"/>
        <w:numPr>
          <w:ilvl w:val="0"/>
          <w:numId w:val="3"/>
        </w:numPr>
        <w:spacing w:before="60" w:after="60"/>
      </w:pPr>
      <w:r>
        <w:rPr>
          <w:rFonts w:ascii="Arial" w:cs="Arial" w:eastAsia="Arial" w:hAnsi="Arial"/>
          <w:b/>
          <w:bCs/>
          <w:color w:val="2E2E2E"/>
          <w:sz w:val="22"/>
          <w:szCs w:val="22"/>
        </w:rPr>
        <w:t xml:space="preserve">Work unit completion. </w:t>
      </w:r>
      <w:r>
        <w:rPr>
          <w:rFonts w:ascii="Arial" w:cs="Arial" w:eastAsia="Arial" w:hAnsi="Arial"/>
          <w:color w:val="2E2E2E"/>
          <w:sz w:val="22"/>
          <w:szCs w:val="22"/>
        </w:rPr>
        <w:t xml:space="preserve">Log total_objects and link_failures.</w:t>
      </w:r>
    </w:p>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9. Configuration Reference</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OPENCTI_URL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OpenCTI base URL</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OPENCTI_TOKEN</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Yes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Connector service account API token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CONNECTOR_ID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UUID — unique per OpenCTI instance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CONNECTOR_LOG_LEVEL</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No</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info</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debug, info, warning, error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URLHAUS_API_KEY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URLHaus API key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4E79"/>
                <w:sz w:val="19"/>
                <w:szCs w:val="19"/>
              </w:rPr>
              <w:t xml:space="preserve">URLHAUS_INTERVAL_HOURS</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No</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24</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Poll interval in hours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4E79"/>
                <w:sz w:val="19"/>
                <w:szCs w:val="19"/>
              </w:rPr>
              <w:t xml:space="preserve">URLHAUS_RUN_ON_STARTUP</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No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false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Run immediately on startup. Set true for dev or forced runs.</w:t>
            </w:r>
          </w:p>
        </w:tc>
      </w:tr>
    </w:tbl>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10. Operational Notes</w:t>
      </w:r>
    </w:p>
    <w:p>
      <w:pPr>
        <w:pStyle w:val="Heading2"/>
        <w:spacing w:before="280" w:after="120"/>
      </w:pPr>
      <w:r>
        <w:rPr>
          <w:rFonts w:ascii="Arial" w:cs="Arial" w:eastAsia="Arial" w:hAnsi="Arial"/>
          <w:b/>
          <w:bCs/>
          <w:color w:val="1F4E79"/>
          <w:sz w:val="26"/>
          <w:szCs w:val="26"/>
        </w:rPr>
        <w:t xml:space="preserve">10.1 Expected Volume</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 Type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Count</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URL Observables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50–300</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Online-only filter; raw feed has 1,000 entries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Domain/IPv4/IPv6 Observables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50–300</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One per URL entry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File Observables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200–1,000</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All payloads; dedup on SHA-256</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Malware SDOs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10–50</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High cache reuse after first run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Tool SDOs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1–4</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One per TAG_TOOL_MAP entry seen in tags; highly cached</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Software Observables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0–1</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Cowrie appears infrequently in URL tags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Relationships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500–3,000</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Dominant contributor to total object count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Report Container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1</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Idempotent on date</w:t>
            </w:r>
          </w:p>
        </w:tc>
      </w:tr>
    </w:tbl>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10.2 Periodic Malware Entity Review</w:t>
      </w:r>
    </w:p>
    <w:p>
      <w:pPr>
        <w:spacing w:before="80" w:after="80"/>
      </w:pPr>
      <w:r>
        <w:rPr>
          <w:rFonts w:ascii="Arial" w:cs="Arial" w:eastAsia="Arial" w:hAnsi="Arial"/>
          <w:color w:val="2E2E2E"/>
          <w:sz w:val="22"/>
          <w:szCs w:val="22"/>
        </w:rPr>
        <w:t xml:space="preserve">Run the following query periodically to audit all Malware entities attributed to abuse.ch. Review for CPU architecture names, file type extensions, encoding descriptors, garbled Pw * tags, Dropped By * labels, and generic category names. Delete confirmed garbage entities via Arsenal → Malware in the UI, then add their normalized forms to TAG_BLOCKLIST before the next run.</w:t>
      </w:r>
    </w:p>
    <w:p>
      <w:pPr>
        <w:spacing w:before="40" w:after="40"/>
      </w:pPr>
      <w:r>
        <w:rPr>
          <w:sz w:val="22"/>
          <w:szCs w:val="22"/>
        </w:rPr>
        <w:t xml:space="preserve"/>
      </w:r>
    </w:p>
    <w:p>
      <w:pPr>
        <w:shd w:fill="EEF3F8" w:val="clear"/>
        <w:spacing w:before="40" w:after="40"/>
        <w:ind w:left="720"/>
      </w:pPr>
      <w:r>
        <w:rPr>
          <w:rFonts w:ascii="Courier New" w:cs="Courier New" w:eastAsia="Courier New" w:hAnsi="Courier New"/>
          <w:color w:val="1F4E79"/>
          <w:sz w:val="19"/>
          <w:szCs w:val="19"/>
        </w:rPr>
        <w:t xml:space="preserve">sudo docker exec -it opencti-docker-opencti-1 wget -qO- \</w:t>
      </w:r>
    </w:p>
    <w:p>
      <w:pPr>
        <w:shd w:fill="EEF3F8" w:val="clear"/>
        <w:spacing w:before="40" w:after="40"/>
        <w:ind w:left="720"/>
      </w:pPr>
      <w:r>
        <w:rPr>
          <w:rFonts w:ascii="Courier New" w:cs="Courier New" w:eastAsia="Courier New" w:hAnsi="Courier New"/>
          <w:color w:val="1F4E79"/>
          <w:sz w:val="19"/>
          <w:szCs w:val="19"/>
        </w:rPr>
        <w:t xml:space="preserve">  --header='Authorization: Bearer &lt;admin_token&gt;' \</w:t>
      </w:r>
    </w:p>
    <w:p>
      <w:pPr>
        <w:shd w:fill="EEF3F8" w:val="clear"/>
        <w:spacing w:before="40" w:after="40"/>
        <w:ind w:left="720"/>
      </w:pPr>
      <w:r>
        <w:rPr>
          <w:rFonts w:ascii="Courier New" w:cs="Courier New" w:eastAsia="Courier New" w:hAnsi="Courier New"/>
          <w:color w:val="1F4E79"/>
          <w:sz w:val="19"/>
          <w:szCs w:val="19"/>
        </w:rPr>
        <w:t xml:space="preserve">  --header='Content-Type: application/json' \</w:t>
      </w:r>
    </w:p>
    <w:p>
      <w:pPr>
        <w:shd w:fill="EEF3F8" w:val="clear"/>
        <w:spacing w:before="40" w:after="40"/>
        <w:ind w:left="720"/>
      </w:pPr>
      <w:r>
        <w:rPr>
          <w:rFonts w:ascii="Courier New" w:cs="Courier New" w:eastAsia="Courier New" w:hAnsi="Courier New"/>
          <w:color w:val="1F4E79"/>
          <w:sz w:val="19"/>
          <w:szCs w:val="19"/>
        </w:rPr>
        <w:t xml:space="preserve">  --post-data='{"query":"{ malwares(filters: {mode: and, filters: [{key: \\"createdBy\\", values: [\\"&lt;abuse_ch_id&gt;\\"]}], filterGroups: []}, first: 200) { edges { node { id name created_at } } } }"}' \</w:t>
      </w:r>
    </w:p>
    <w:p>
      <w:pPr>
        <w:shd w:fill="EEF3F8" w:val="clear"/>
        <w:spacing w:before="40" w:after="40"/>
        <w:ind w:left="720"/>
      </w:pPr>
      <w:r>
        <w:rPr>
          <w:rFonts w:ascii="Courier New" w:cs="Courier New" w:eastAsia="Courier New" w:hAnsi="Courier New"/>
          <w:color w:val="1F4E79"/>
          <w:sz w:val="19"/>
          <w:szCs w:val="19"/>
        </w:rPr>
        <w:t xml:space="preserve">  http://localhost:8080/graphql | python3 -m json.tool</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10.3 Extending the Tag Maps</w:t>
      </w:r>
    </w:p>
    <w:p>
      <w:pPr>
        <w:spacing w:before="80" w:after="80"/>
      </w:pPr>
      <w:r>
        <w:rPr>
          <w:rFonts w:ascii="Arial" w:cs="Arial" w:eastAsia="Arial" w:hAnsi="Arial"/>
          <w:color w:val="2E2E2E"/>
          <w:sz w:val="22"/>
          <w:szCs w:val="22"/>
        </w:rPr>
        <w:t xml:space="preserve">To add a new Tool mapping: add an entry to TAG_TOOL_MAP in connector.py where the key is the title-cased normalized tag (underscores/hyphens replaced with spaces) and the value is the canonical Tool entity name. Rebuild the connector. The Tool entity will be created on first encounter.</w:t>
      </w:r>
    </w:p>
    <w:p>
      <w:pPr>
        <w:spacing w:before="40" w:after="40"/>
      </w:pPr>
      <w:r>
        <w:rPr>
          <w:sz w:val="22"/>
          <w:szCs w:val="22"/>
        </w:rPr>
        <w:t xml:space="preserve"/>
      </w:r>
    </w:p>
    <w:p>
      <w:pPr>
        <w:spacing w:before="80" w:after="80"/>
      </w:pPr>
      <w:r>
        <w:rPr>
          <w:rFonts w:ascii="Arial" w:cs="Arial" w:eastAsia="Arial" w:hAnsi="Arial"/>
          <w:color w:val="2E2E2E"/>
          <w:sz w:val="22"/>
          <w:szCs w:val="22"/>
        </w:rPr>
        <w:t xml:space="preserve">To add a new Software mapping: same pattern using TAG_SOFTWARE_MAP.</w:t>
      </w:r>
    </w:p>
    <w:p>
      <w:pPr>
        <w:spacing w:before="40" w:after="40"/>
      </w:pPr>
      <w:r>
        <w:rPr>
          <w:sz w:val="22"/>
          <w:szCs w:val="22"/>
        </w:rPr>
        <w:t xml:space="preserve"/>
      </w:r>
    </w:p>
    <w:p>
      <w:pPr>
        <w:spacing w:before="80" w:after="80"/>
      </w:pPr>
      <w:r>
        <w:rPr>
          <w:rFonts w:ascii="Arial" w:cs="Arial" w:eastAsia="Arial" w:hAnsi="Arial"/>
          <w:color w:val="2E2E2E"/>
          <w:sz w:val="22"/>
          <w:szCs w:val="22"/>
        </w:rPr>
        <w:t xml:space="preserve">To suppress a tag with no entity output: add the title-cased normalized form to TAG_BLOCKLIST. All entries must be title-cased or they will never match.</w:t>
      </w:r>
    </w:p>
    <w:p>
      <w:pPr>
        <w:spacing w:before="40" w:after="40"/>
      </w:pPr>
      <w:r>
        <w:rPr>
          <w:sz w:val="22"/>
          <w:szCs w:val="22"/>
        </w:rPr>
        <w:t xml:space="preserve"/>
      </w:r>
    </w:p>
    <w:p>
      <w:pPr>
        <w:pStyle w:val="Heading2"/>
        <w:spacing w:before="280" w:after="120"/>
      </w:pPr>
      <w:r>
        <w:rPr>
          <w:rFonts w:ascii="Arial" w:cs="Arial" w:eastAsia="Arial" w:hAnsi="Arial"/>
          <w:b/>
          <w:bCs/>
          <w:color w:val="1F4E79"/>
          <w:sz w:val="26"/>
          <w:szCs w:val="26"/>
        </w:rPr>
        <w:t xml:space="preserve">10.4 Tag Normalization Edge Cases</w:t>
      </w:r>
    </w:p>
    <w:p>
      <w:pPr>
        <w:spacing w:before="80" w:after="80"/>
      </w:pPr>
      <w:r>
        <w:rPr>
          <w:rFonts w:ascii="Arial" w:cs="Arial" w:eastAsia="Arial" w:hAnsi="Arial"/>
          <w:color w:val="2E2E2E"/>
          <w:sz w:val="22"/>
          <w:szCs w:val="22"/>
        </w:rPr>
        <w:t xml:space="preserve">Tags with non-standard capitalizations normalize to title case: 'njRAT' → 'Njrat', 'AsyncRAT' → 'Asyncrat'. Review Arsenal → Malware after initial ingestion for entities that may need merging with canonically named graph entities.</w:t>
      </w:r>
    </w:p>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11. Relationship to Other Connectors</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3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Shared Asset</w:t>
            </w:r>
          </w:p>
        </w:tc>
        <w:tc>
          <w:tcPr>
            <w:tcW w:type="dxa" w:w="3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ThreatFox</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abuse.ch Organization identity</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Name-based lookup at startup. One entity shared, no coordination required.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VirusTotal</w:t>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StixFile observables</w:t>
            </w:r>
          </w:p>
        </w:tc>
        <w:tc>
          <w:tcPr>
            <w:tcW w:type="dxa" w:w="3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VirusTotal enriches File observables created here when they appear in RFI containers.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Report Model QA</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Daily Report containers</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QA connector evaluates Report containers including URLHaus daily feeds.</w:t>
            </w:r>
          </w:p>
        </w:tc>
      </w:tr>
    </w:tbl>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12. Known Limitations</w:t>
      </w:r>
    </w:p>
    <w:p>
      <w:pPr>
        <w:pStyle w:val="ListParagraph"/>
        <w:numPr>
          <w:ilvl w:val="0"/>
          <w:numId w:val="2"/>
        </w:numPr>
        <w:spacing w:before="40" w:after="40"/>
      </w:pPr>
      <w:r>
        <w:rPr>
          <w:rFonts w:ascii="Arial" w:cs="Arial" w:eastAsia="Arial" w:hAnsi="Arial"/>
          <w:b w:val="false"/>
          <w:bCs w:val="false"/>
          <w:color w:val="2E2E2E"/>
          <w:sz w:val="22"/>
          <w:szCs w:val="22"/>
        </w:rPr>
        <w:t xml:space="preserve">No backfill. Only the most recent 1,000 entries from each endpoint are available per API call.</w:t>
      </w:r>
    </w:p>
    <w:p>
      <w:pPr>
        <w:pStyle w:val="ListParagraph"/>
        <w:numPr>
          <w:ilvl w:val="0"/>
          <w:numId w:val="2"/>
        </w:numPr>
        <w:spacing w:before="40" w:after="40"/>
      </w:pPr>
      <w:r>
        <w:rPr>
          <w:rFonts w:ascii="Arial" w:cs="Arial" w:eastAsia="Arial" w:hAnsi="Arial"/>
          <w:b w:val="false"/>
          <w:bCs w:val="false"/>
          <w:color w:val="2E2E2E"/>
          <w:sz w:val="22"/>
          <w:szCs w:val="22"/>
        </w:rPr>
        <w:t xml:space="preserve">Tag normalization uses title-casing. Non-standard capitalizations (njRAT, AsyncRAT) produce divergent entity names requiring manual merge.</w:t>
      </w:r>
    </w:p>
    <w:p>
      <w:pPr>
        <w:pStyle w:val="ListParagraph"/>
        <w:numPr>
          <w:ilvl w:val="0"/>
          <w:numId w:val="2"/>
        </w:numPr>
        <w:spacing w:before="40" w:after="40"/>
      </w:pPr>
      <w:r>
        <w:rPr>
          <w:rFonts w:ascii="Arial" w:cs="Arial" w:eastAsia="Arial" w:hAnsi="Arial"/>
          <w:b w:val="false"/>
          <w:bCs w:val="false"/>
          <w:color w:val="2E2E2E"/>
          <w:sz w:val="22"/>
          <w:szCs w:val="22"/>
        </w:rPr>
        <w:t xml:space="preserve">Payload entries with no SHA-256 hash are silently skipped.</w:t>
      </w:r>
    </w:p>
    <w:p>
      <w:pPr>
        <w:pStyle w:val="ListParagraph"/>
        <w:numPr>
          <w:ilvl w:val="0"/>
          <w:numId w:val="2"/>
        </w:numPr>
        <w:spacing w:before="40" w:after="40"/>
      </w:pPr>
      <w:r>
        <w:rPr>
          <w:rFonts w:ascii="Arial" w:cs="Arial" w:eastAsia="Arial" w:hAnsi="Arial"/>
          <w:b w:val="false"/>
          <w:bCs w:val="false"/>
          <w:color w:val="2E2E2E"/>
          <w:sz w:val="22"/>
          <w:szCs w:val="22"/>
        </w:rPr>
        <w:t xml:space="preserve">The File→URL link is only created within the same run window. Historically valid cross-run links are not created.</w:t>
      </w:r>
    </w:p>
    <w:p>
      <w:pPr>
        <w:pStyle w:val="ListParagraph"/>
        <w:numPr>
          <w:ilvl w:val="0"/>
          <w:numId w:val="2"/>
        </w:numPr>
        <w:spacing w:before="40" w:after="40"/>
      </w:pPr>
      <w:r>
        <w:rPr>
          <w:rFonts w:ascii="Arial" w:cs="Arial" w:eastAsia="Arial" w:hAnsi="Arial"/>
          <w:b w:val="false"/>
          <w:bCs w:val="false"/>
          <w:color w:val="2E2E2E"/>
          <w:sz w:val="22"/>
          <w:szCs w:val="22"/>
        </w:rPr>
        <w:t xml:space="preserve">TAG_TOOL_MAP and TAG_SOFTWARE_MAP are static. New abused tools appearing in URLHaus tags will produce Malware SDOs until the maps are updated and the connector rebuilt.</w:t>
      </w:r>
    </w:p>
    <w:p>
      <w:pPr>
        <w:pStyle w:val="ListParagraph"/>
        <w:numPr>
          <w:ilvl w:val="0"/>
          <w:numId w:val="2"/>
        </w:numPr>
        <w:spacing w:before="40" w:after="40"/>
      </w:pPr>
      <w:r>
        <w:rPr>
          <w:rFonts w:ascii="Arial" w:cs="Arial" w:eastAsia="Arial" w:hAnsi="Arial"/>
          <w:b w:val="false"/>
          <w:bCs w:val="false"/>
          <w:color w:val="2E2E2E"/>
          <w:sz w:val="22"/>
          <w:szCs w:val="22"/>
        </w:rPr>
        <w:t xml:space="preserve">Caches do not persist across process restarts.</w:t>
      </w:r>
    </w:p>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13. Requirements</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Python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3.11 (base image: python:3.11-slim)</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pycti</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6.9.13 — must match OpenCTI instance version exactly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requests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&gt;=2.28.0</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pyyaml</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&gt;=6.0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libmagic1</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System package installed in Dockerfile. Required by pycti via python-magic.</w:t>
            </w:r>
          </w:p>
        </w:tc>
      </w:tr>
    </w:tbl>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CRITICAL</w:t>
            </w:r>
          </w:p>
        </w:tc>
        <w:tc>
          <w:tcPr>
            <w:tcW w:type="dxa" w:w="7920"/>
            <w:tcBorders>
              <w:top w:val="single" w:color="BBBBBB" w:sz="1"/>
              <w:left w:val="none" w:color="FFFFFF" w:sz="0"/>
              <w:bottom w:val="single" w:color="BBBBBB" w:sz="1"/>
              <w:right w:val="single" w:color="BBBBBB" w:sz="1"/>
            </w:tcBorders>
            <w:shd w:fill="EBF3FB" w:val="clear"/>
            <w:tcMar>
              <w:top w:type="dxa" w:w="100"/>
              <w:left w:type="dxa" w:w="160"/>
              <w:bottom w:type="dxa" w:w="100"/>
              <w:right w:type="dxa" w:w="160"/>
            </w:tcMar>
          </w:tcPr>
          <w:p>
            <w:r>
              <w:rPr>
                <w:rFonts w:ascii="Arial" w:cs="Arial" w:eastAsia="Arial" w:hAnsi="Arial"/>
                <w:color w:val="2E2E2E"/>
                <w:sz w:val="20"/>
                <w:szCs w:val="20"/>
              </w:rPr>
              <w:t xml:space="preserve">pycti must match the OpenCTI instance version exactly. A version mismatch produces GraphQL schema errors at runtime. If OpenCTI is upgraded, the connector must be rebuilt with the matching pycti version.</w:t>
            </w:r>
          </w:p>
        </w:tc>
      </w:tr>
    </w:tbl>
    <w:p>
      <w:pPr>
        <w:spacing w:before="40" w:after="40"/>
      </w:pPr>
      <w:r>
        <w:rPr>
          <w:sz w:val="22"/>
          <w:szCs w:val="22"/>
        </w:rPr>
        <w:t xml:space="preserve"/>
      </w:r>
    </w:p>
    <w:p>
      <w:pPr>
        <w:pStyle w:val="Heading1"/>
        <w:pBdr>
          <w:bottom w:val="single" w:color="2E75B6" w:sz="8" w:space="1"/>
        </w:pBdr>
        <w:spacing w:before="400" w:after="160"/>
      </w:pPr>
      <w:r>
        <w:rPr>
          <w:rFonts w:ascii="Arial" w:cs="Arial" w:eastAsia="Arial" w:hAnsi="Arial"/>
          <w:b/>
          <w:bCs/>
          <w:color w:val="1F4E79"/>
          <w:sz w:val="34"/>
          <w:szCs w:val="34"/>
        </w:rPr>
        <w:t xml:space="preserve">14. Changelog</w:t>
      </w:r>
    </w:p>
    <w:p>
      <w:pPr>
        <w:spacing w:before="40"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1.0.3</w:t>
            </w:r>
          </w:p>
        </w:tc>
        <w:tc>
          <w:tcPr>
            <w:tcW w:type="dxa" w:w="7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Added TAG_TOOL_MAP and TAG_SOFTWARE_MAP. Tags for abused tools (ConnectWise, RMM, GitHub, wget) now produce Tool SDOs. Cowrie tag produces Software observable. All Tool and Software entities linked into the daily Report container with related-to relationships to URL and host observables. Payload signature routing unchanged (Malware SDOs only).</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1.0.2</w:t>
            </w:r>
          </w:p>
        </w:tc>
        <w:tc>
          <w:tcPr>
            <w:tcW w:type="dxa" w:w="7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Expanded TAG_BLOCKLIST: CPU architecture tags (ARM, MIPS, x86, SPARC, SuperH, M68K, PowerPC), encoding descriptors (Base64, Ascii, Encoded, Encrypted), Lua, operational descriptors (Rat, Rmm, Honeypot, Github, Cowrie, Ua Wget, Botnetdomain). Added _BLOCKLIST_PREFIXES regex patterns for Pw * and Dropped By * tag families.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1.0.1</w:t>
            </w:r>
          </w:p>
        </w:tc>
        <w:tc>
          <w:tcPr>
            <w:tcW w:type="dxa" w:w="7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Added RUN_ON_STARTUP guard, Malware cache TTL (24h), startup tag audit log, IPv6-Addr observable support, exponential backoff retry in client.py.</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2E2E"/>
                <w:sz w:val="20"/>
                <w:szCs w:val="20"/>
              </w:rPr>
              <w:t xml:space="preserve">1.0.0</w:t>
            </w:r>
          </w:p>
        </w:tc>
        <w:tc>
          <w:tcPr>
            <w:tcW w:type="dxa" w:w="7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2E2E2E"/>
                <w:sz w:val="20"/>
                <w:szCs w:val="20"/>
              </w:rPr>
              <w:t xml:space="preserve">Initial release. URL and payload ingestion, online-status filter, daily Report containers, Malware SDOs from tags, TAG_BLOCKLIST for file types and hosting descriptors.</w:t>
            </w:r>
          </w:p>
        </w:tc>
      </w:tr>
    </w:tbl>
    <w:p>
      <w:pPr>
        <w:spacing w:before="40" w:after="40"/>
      </w:pPr>
      <w:r>
        <w:rPr>
          <w:sz w:val="22"/>
          <w:szCs w:val="22"/>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8"/>
        <w:szCs w:val="18"/>
      </w:rPr>
      <w:t xml:space="preserve">INTERNAL — TLP:CLEAR</w:t>
    </w:r>
    <w:r>
      <w:rPr>
        <w:sz w:val="18"/>
        <w:szCs w:val="18"/>
      </w:rPr>
      <w:t xml:space="preserve">	</w:t>
    </w:r>
    <w:r>
      <w:rPr>
        <w:rFonts w:ascii="Arial" w:cs="Arial" w:eastAsia="Arial" w:hAnsi="Arial"/>
        <w:color w:val="888888"/>
        <w:sz w:val="18"/>
        <w:szCs w:val="18"/>
      </w:rPr>
      <w:t xml:space="preserve">OpenCTI 6.9.13  |  pycti 6.9.13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OpenCTI URLHaus Connector</w:t>
    </w:r>
    <w:r>
      <w:rPr>
        <w:sz w:val="18"/>
        <w:szCs w:val="18"/>
      </w:rPr>
      <w:t xml:space="preserve">	</w:t>
    </w:r>
    <w:r>
      <w:rPr>
        <w:rFonts w:ascii="Arial" w:cs="Arial" w:eastAsia="Arial" w:hAnsi="Arial"/>
        <w:color w:val="888888"/>
        <w:sz w:val="18"/>
        <w:szCs w:val="18"/>
      </w:rPr>
      <w:t xml:space="preserve">Connector Scoping Document  —  v1.0.3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2026-03-19T12:24:58.560Z</dcterms:created>
  <dcterms:modified xsi:type="dcterms:W3CDTF">2026-03-19T12:24:58.561Z</dcterms:modified>
</cp:coreProperties>
</file>

<file path=docProps/custom.xml><?xml version="1.0" encoding="utf-8"?>
<Properties xmlns="http://schemas.openxmlformats.org/officeDocument/2006/custom-properties" xmlns:vt="http://schemas.openxmlformats.org/officeDocument/2006/docPropsVTypes"/>
</file>