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000000"/>
          <w:sz w:val="48"/>
          <w:szCs w:val="48"/>
        </w:rPr>
        <w:t xml:space="preserve">GTI Report Connector</w:t>
      </w:r>
    </w:p>
    <w:p>
      <w:pPr>
        <w:spacing w:after="80" w:before="0"/>
      </w:pPr>
      <w:r>
        <w:rPr>
          <w:rFonts w:ascii="Arial" w:cs="Arial" w:eastAsia="Arial" w:hAnsi="Arial"/>
          <w:color w:val="555555"/>
          <w:sz w:val="28"/>
          <w:szCs w:val="28"/>
        </w:rPr>
        <w:t xml:space="preserve">CONNECTOR_SCOPE.md</w:t>
      </w:r>
    </w:p>
    <w:p>
      <w:pPr>
        <w:spacing w:after="400" w:before="0"/>
      </w:pPr>
      <w:r>
        <w:rPr>
          <w:rFonts w:ascii="Arial" w:cs="Arial" w:eastAsia="Arial" w:hAnsi="Arial"/>
          <w:color w:val="555555"/>
          <w:sz w:val="20"/>
          <w:szCs w:val="20"/>
        </w:rPr>
        <w:t xml:space="preserve">Version 1.0  ·  2026-04-06  ·  TLP:AMBER+STRICT  ·  For Internal Use Only</w:t>
      </w:r>
    </w:p>
    <w:p>
      <w:pPr>
        <w:pStyle w:val="Heading1"/>
        <w:spacing w:after="120" w:before="360"/>
      </w:pPr>
      <w:r>
        <w:rPr>
          <w:rFonts w:ascii="Arial" w:cs="Arial" w:eastAsia="Arial" w:hAnsi="Arial"/>
          <w:b/>
          <w:bCs/>
          <w:color w:val="000000"/>
          <w:sz w:val="32"/>
          <w:szCs w:val="32"/>
        </w:rPr>
        <w:t xml:space="preserve">1. Purpose and Scope</w:t>
      </w:r>
    </w:p>
    <w:p>
      <w:pPr>
        <w:spacing w:after="80" w:before="80"/>
      </w:pPr>
      <w:r>
        <w:rPr>
          <w:rFonts w:ascii="Arial" w:cs="Arial" w:eastAsia="Arial" w:hAnsi="Arial"/>
          <w:color w:val="000000"/>
          <w:sz w:val="22"/>
          <w:szCs w:val="22"/>
        </w:rPr>
        <w:t xml:space="preserve">The GTI Report Connector ingests finished intelligence reports published by Google Threat Intelligence (GTI) into the OpenCTI knowledge graph as Report containers. It operates as a persistent polling connector, running at a configurable interval and automatically ingesting new GTI-authored reports as they are published on the Mandiant Advantage and Google Threat Intelligence platforms.</w:t>
      </w:r>
    </w:p>
    <w:p>
      <w:pPr>
        <w:spacing w:after="80" w:before="80"/>
      </w:pPr>
      <w:r>
        <w:rPr>
          <w:rFonts w:ascii="Arial" w:cs="Arial" w:eastAsia="Arial" w:hAnsi="Arial"/>
          <w:color w:val="000000"/>
          <w:sz w:val="22"/>
          <w:szCs w:val="22"/>
        </w:rPr>
        <w:t xml:space="preserve">The connector is scoped exclusively to reports authored by Google Threat Intelligence (origin:"Google Threat Intelligence"). Crowdsourced OSINT articles, community submissions, and third-party content distributed via the GTI platform are explicitly excluded. This scope decision is grounded in the Four Cs data model: crowdsourced content violates Containment (wrong author identity), Categorization (wrong report type), and Completeness (secondary sources, future-dated timestamps) and therefore does not meet the minimum standard for ingestion into a structured intelligence graph.</w:t>
      </w:r>
    </w:p>
    <w:p>
      <w:pPr>
        <w:pStyle w:val="Heading1"/>
        <w:spacing w:after="120" w:before="360"/>
      </w:pPr>
      <w:r>
        <w:rPr>
          <w:rFonts w:ascii="Arial" w:cs="Arial" w:eastAsia="Arial" w:hAnsi="Arial"/>
          <w:b/>
          <w:bCs/>
          <w:color w:val="000000"/>
          <w:sz w:val="32"/>
          <w:szCs w:val="32"/>
        </w:rPr>
        <w:t xml:space="preserve">2. Data Source</w:t>
      </w:r>
    </w:p>
    <w:p>
      <w:pPr>
        <w:pStyle w:val="Heading2"/>
        <w:spacing w:after="80" w:before="280"/>
      </w:pPr>
      <w:r>
        <w:rPr>
          <w:rFonts w:ascii="Arial" w:cs="Arial" w:eastAsia="Arial" w:hAnsi="Arial"/>
          <w:b/>
          <w:bCs/>
          <w:color w:val="000000"/>
          <w:sz w:val="26"/>
          <w:szCs w:val="26"/>
        </w:rPr>
        <w:t xml:space="preserve">2.1 API</w:t>
      </w:r>
    </w:p>
    <w:p>
      <w:pPr>
        <w:spacing w:after="80" w:before="80"/>
      </w:pPr>
      <w:r>
        <w:rPr>
          <w:rFonts w:ascii="Arial" w:cs="Arial" w:eastAsia="Arial" w:hAnsi="Arial"/>
          <w:color w:val="000000"/>
          <w:sz w:val="22"/>
          <w:szCs w:val="22"/>
        </w:rPr>
        <w:t xml:space="preserve">The connector consumes the Google Threat Intelligence API, which is the public-facing API for the Mandiant Advantage and GTI platforms following Google's acquisition of Mandiant. The API is hosted at:</w:t>
      </w:r>
    </w:p>
    <w:p>
      <w:pPr>
        <w:spacing w:after="80" w:before="80"/>
      </w:pPr>
      <w:r>
        <w:rPr>
          <w:rFonts w:ascii="Arial" w:cs="Arial" w:eastAsia="Arial" w:hAnsi="Arial"/>
          <w:i/>
          <w:iCs/>
          <w:color w:val="000000"/>
          <w:sz w:val="22"/>
          <w:szCs w:val="22"/>
        </w:rPr>
        <w:t xml:space="preserve">https://www.virustotal.com/api/v3</w:t>
      </w:r>
    </w:p>
    <w:p>
      <w:pPr>
        <w:spacing w:after="80" w:before="80"/>
      </w:pPr>
      <w:r>
        <w:rPr>
          <w:rFonts w:ascii="Arial" w:cs="Arial" w:eastAsia="Arial" w:hAnsi="Arial"/>
          <w:color w:val="000000"/>
          <w:sz w:val="22"/>
          <w:szCs w:val="22"/>
        </w:rPr>
        <w:t xml:space="preserve">Authentication uses the x-apikey header. No OAuth token exchange or separate Mandiant Advantage credentials are required.</w:t>
      </w:r>
    </w:p>
    <w:p>
      <w:pPr>
        <w:pStyle w:val="Heading2"/>
        <w:spacing w:after="80" w:before="280"/>
      </w:pPr>
      <w:r>
        <w:rPr>
          <w:rFonts w:ascii="Arial" w:cs="Arial" w:eastAsia="Arial" w:hAnsi="Arial"/>
          <w:b/>
          <w:bCs/>
          <w:color w:val="000000"/>
          <w:sz w:val="26"/>
          <w:szCs w:val="26"/>
        </w:rPr>
        <w:t xml:space="preserve">2.2 Report Listing Endpoint</w:t>
      </w:r>
    </w:p>
    <w:p>
      <w:pPr>
        <w:spacing w:after="80" w:before="80"/>
      </w:pPr>
      <w:r>
        <w:rPr>
          <w:rFonts w:ascii="Arial" w:cs="Arial" w:eastAsia="Arial" w:hAnsi="Arial"/>
          <w:color w:val="000000"/>
          <w:sz w:val="22"/>
          <w:szCs w:val="22"/>
        </w:rPr>
        <w:t xml:space="preserve">Reports are fetched via the collections endpoint:</w:t>
      </w:r>
    </w:p>
    <w:p>
      <w:pPr>
        <w:spacing w:after="80" w:before="80"/>
      </w:pPr>
      <w:r>
        <w:rPr>
          <w:rFonts w:ascii="Arial" w:cs="Arial" w:eastAsia="Arial" w:hAnsi="Arial"/>
          <w:i/>
          <w:iCs/>
          <w:color w:val="000000"/>
          <w:sz w:val="22"/>
          <w:szCs w:val="22"/>
        </w:rPr>
        <w:t xml:space="preserve">GET /api/v3/collections</w:t>
      </w:r>
    </w:p>
    <w:p>
      <w:pPr>
        <w:spacing w:after="80" w:before="80"/>
      </w:pPr>
      <w:r>
        <w:rPr>
          <w:rFonts w:ascii="Arial" w:cs="Arial" w:eastAsia="Arial" w:hAnsi="Arial"/>
          <w:color w:val="000000"/>
          <w:sz w:val="22"/>
          <w:szCs w:val="22"/>
        </w:rPr>
        <w:t xml:space="preserve">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Value and Rationale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filter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collection_type:report origin:"Google Threat Intelligence" — Restricts to GTI-authored reports only. The quoted value is required; unquoted multi-word values return zero results.</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order</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relevance- — Matches the GTI portal default ordering. Surfaces the most analytically significant recent reports first rather than purely chronological order.</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limit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Configurable via GTI_IMPORT_LIMIT, capped at 40 (API maximum per page). Pagination via cursor for larger imports.</w:t>
            </w:r>
          </w:p>
        </w:tc>
      </w:tr>
    </w:tbl>
    <w:p>
      <w:pPr>
        <w:pStyle w:val="Heading2"/>
        <w:spacing w:after="80" w:before="280"/>
      </w:pPr>
      <w:r>
        <w:rPr>
          <w:rFonts w:ascii="Arial" w:cs="Arial" w:eastAsia="Arial" w:hAnsi="Arial"/>
          <w:b/>
          <w:bCs/>
          <w:color w:val="000000"/>
          <w:sz w:val="26"/>
          <w:szCs w:val="26"/>
        </w:rPr>
        <w:t xml:space="preserve">2.3 PDF Download Endpoint</w:t>
      </w:r>
    </w:p>
    <w:p>
      <w:pPr>
        <w:spacing w:after="80" w:before="80"/>
      </w:pPr>
      <w:r>
        <w:rPr>
          <w:rFonts w:ascii="Arial" w:cs="Arial" w:eastAsia="Arial" w:hAnsi="Arial"/>
          <w:color w:val="000000"/>
          <w:sz w:val="22"/>
          <w:szCs w:val="22"/>
        </w:rPr>
        <w:t xml:space="preserve">Official Mandiant-formatted PDFs are obtained via:</w:t>
      </w:r>
    </w:p>
    <w:p>
      <w:pPr>
        <w:spacing w:after="80" w:before="80"/>
      </w:pPr>
      <w:r>
        <w:rPr>
          <w:rFonts w:ascii="Arial" w:cs="Arial" w:eastAsia="Arial" w:hAnsi="Arial"/>
          <w:i/>
          <w:iCs/>
          <w:color w:val="000000"/>
          <w:sz w:val="22"/>
          <w:szCs w:val="22"/>
        </w:rPr>
        <w:t xml:space="preserve">GET /api/v3/collections/{collection_id}/download_report</w:t>
      </w:r>
    </w:p>
    <w:p>
      <w:pPr>
        <w:spacing w:after="80" w:before="80"/>
      </w:pPr>
      <w:r>
        <w:rPr>
          <w:rFonts w:ascii="Arial" w:cs="Arial" w:eastAsia="Arial" w:hAnsi="Arial"/>
          <w:color w:val="000000"/>
          <w:sz w:val="22"/>
          <w:szCs w:val="22"/>
        </w:rPr>
        <w:t xml:space="preserve">This endpoint returns a JSON response containing a signed Google Cloud Storage URL pointing to the PDF. The connector then fetches that URL directly. The signed URL is time-limited and generated per-request. The PDF bytes are validated against the %PDF magic bytes before attachment.</w:t>
      </w:r>
    </w:p>
    <w:p>
      <w:pPr>
        <w:spacing w:after="80" w:before="80"/>
      </w:pPr>
      <w:r>
        <w:rPr>
          <w:rFonts w:ascii="Arial" w:cs="Arial" w:eastAsia="Arial" w:hAnsi="Arial"/>
          <w:color w:val="000000"/>
          <w:sz w:val="22"/>
          <w:szCs w:val="22"/>
        </w:rPr>
        <w:t xml:space="preserve">This endpoint is distinct from /api/v3/collections/{id}/download_url, which returns an IOC JSON export, not a PDF. The correct endpoint was identified by inspecting browser network traffic against the GTI portal.</w:t>
      </w:r>
    </w:p>
    <w:p>
      <w:pPr>
        <w:pStyle w:val="Heading2"/>
        <w:spacing w:after="80" w:before="280"/>
      </w:pPr>
      <w:r>
        <w:rPr>
          <w:rFonts w:ascii="Arial" w:cs="Arial" w:eastAsia="Arial" w:hAnsi="Arial"/>
          <w:b/>
          <w:bCs/>
          <w:color w:val="000000"/>
          <w:sz w:val="26"/>
          <w:szCs w:val="26"/>
        </w:rPr>
        <w:t xml:space="preserve">2.4 What Is Not Available via the API</w:t>
      </w:r>
    </w:p>
    <w:p>
      <w:pPr>
        <w:spacing w:after="80" w:before="80"/>
      </w:pPr>
      <w:r>
        <w:rPr>
          <w:rFonts w:ascii="Arial" w:cs="Arial" w:eastAsia="Arial" w:hAnsi="Arial"/>
          <w:color w:val="000000"/>
          <w:sz w:val="22"/>
          <w:szCs w:val="22"/>
        </w:rPr>
        <w:t xml:space="preserve">The following were investigated and confirmed unavailable with the current API key tier:</w:t>
      </w:r>
    </w:p>
    <w:p>
      <w:pPr>
        <w:pStyle w:val="ListParagraph"/>
        <w:numPr>
          <w:ilvl w:val="0"/>
          <w:numId w:val="2"/>
        </w:numPr>
        <w:spacing w:after="40" w:before="40"/>
      </w:pPr>
      <w:r>
        <w:rPr>
          <w:rFonts w:ascii="Arial" w:cs="Arial" w:eastAsia="Arial" w:hAnsi="Arial"/>
          <w:color w:val="000000"/>
          <w:sz w:val="22"/>
          <w:szCs w:val="22"/>
        </w:rPr>
        <w:t xml:space="preserve">/api/v3/reports/{id}/pdf — Returns 404 for all ID formats.</w:t>
      </w:r>
    </w:p>
    <w:p>
      <w:pPr>
        <w:pStyle w:val="ListParagraph"/>
        <w:numPr>
          <w:ilvl w:val="0"/>
          <w:numId w:val="2"/>
        </w:numPr>
        <w:spacing w:after="40" w:before="40"/>
      </w:pPr>
      <w:r>
        <w:rPr>
          <w:rFonts w:ascii="Arial" w:cs="Arial" w:eastAsia="Arial" w:hAnsi="Arial"/>
          <w:color w:val="000000"/>
          <w:sz w:val="22"/>
          <w:szCs w:val="22"/>
        </w:rPr>
        <w:t xml:space="preserve">/ui/collections/{id}/download_report — Browser UI endpoint, reCAPTCHA protected, returns 429 for programmatic access.</w:t>
      </w:r>
    </w:p>
    <w:p>
      <w:pPr>
        <w:pStyle w:val="ListParagraph"/>
        <w:numPr>
          <w:ilvl w:val="0"/>
          <w:numId w:val="2"/>
        </w:numPr>
        <w:spacing w:after="40" w:before="40"/>
      </w:pPr>
      <w:r>
        <w:rPr>
          <w:rFonts w:ascii="Arial" w:cs="Arial" w:eastAsia="Arial" w:hAnsi="Arial"/>
          <w:color w:val="000000"/>
          <w:sz w:val="22"/>
          <w:szCs w:val="22"/>
        </w:rPr>
        <w:t xml:space="preserve">Mandiant Advantage API (api.intelligence.mandiant.com) — Requires separate OAuth credentials (key ID and secret). The GTI API key is not accepted as a Bearer token on this endpoint.</w:t>
      </w:r>
    </w:p>
    <w:p>
      <w:pPr>
        <w:pStyle w:val="ListParagraph"/>
        <w:numPr>
          <w:ilvl w:val="0"/>
          <w:numId w:val="2"/>
        </w:numPr>
        <w:spacing w:after="40" w:before="40"/>
      </w:pPr>
      <w:r>
        <w:rPr>
          <w:rFonts w:ascii="Arial" w:cs="Arial" w:eastAsia="Arial" w:hAnsi="Arial"/>
          <w:color w:val="000000"/>
          <w:sz w:val="22"/>
          <w:szCs w:val="22"/>
        </w:rPr>
        <w:t xml:space="preserve">mandiant_uuid field — Internal Mandiant document identifier. Not returned by the API at this subscription tier. Required for the legacy Mandiant STIX endpoint match.document_id parameter.</w:t>
      </w:r>
    </w:p>
    <w:p>
      <w:pPr>
        <w:spacing w:after="80" w:before="80"/>
      </w:pPr>
    </w:p>
    <w:p>
      <w:pPr>
        <w:pStyle w:val="Heading1"/>
        <w:spacing w:after="120" w:before="360"/>
      </w:pPr>
      <w:r>
        <w:rPr>
          <w:rFonts w:ascii="Arial" w:cs="Arial" w:eastAsia="Arial" w:hAnsi="Arial"/>
          <w:b/>
          <w:bCs/>
          <w:color w:val="000000"/>
          <w:sz w:val="32"/>
          <w:szCs w:val="32"/>
        </w:rPr>
        <w:t xml:space="preserve">3. Trigger Model</w:t>
      </w:r>
    </w:p>
    <w:p>
      <w:pPr>
        <w:spacing w:after="80" w:before="80"/>
      </w:pPr>
      <w:r>
        <w:rPr>
          <w:rFonts w:ascii="Arial" w:cs="Arial" w:eastAsia="Arial" w:hAnsi="Arial"/>
          <w:color w:val="000000"/>
          <w:sz w:val="22"/>
          <w:szCs w:val="22"/>
        </w:rPr>
        <w:t xml:space="preserve">The connector uses a time-based polling loop. On startup it performs an immediate cold-start run. Subsequent runs occur at the configured interval (GTI_INTERVAL, in minutes, default 60).</w:t>
      </w:r>
    </w:p>
    <w:p>
      <w:pPr>
        <w:spacing w:after="80" w:before="80"/>
      </w:pPr>
      <w:r>
        <w:rPr>
          <w:rFonts w:ascii="Arial" w:cs="Arial" w:eastAsia="Arial" w:hAnsi="Arial"/>
          <w:color w:val="000000"/>
          <w:sz w:val="22"/>
          <w:szCs w:val="22"/>
        </w:rPr>
        <w:t xml:space="preserve">The connector does not use date-based API filtering. The API's added_after filter was found to produce unreliable results for GTI-authored reports due to timestamp normalization issues in the API. Instead, deduplication is handled entirely at the graph level via External Reference URL lookup. This approach is more reliable and consistent with the project's graph-driven deduplication standard.</w:t>
      </w:r>
    </w:p>
    <w:p>
      <w:pPr>
        <w:spacing w:after="80" w:before="80"/>
      </w:pPr>
      <w:r>
        <w:rPr>
          <w:rFonts w:ascii="Arial" w:cs="Arial" w:eastAsia="Arial" w:hAnsi="Arial"/>
          <w:color w:val="000000"/>
          <w:sz w:val="22"/>
          <w:szCs w:val="22"/>
        </w:rPr>
        <w:t xml:space="preserve">The interval timing uses a 60-second tolerance window to prevent drift accumulation across long-running sessions.</w:t>
      </w:r>
    </w:p>
    <w:p>
      <w:pPr>
        <w:pStyle w:val="Heading1"/>
        <w:spacing w:after="120" w:before="360"/>
      </w:pPr>
      <w:r>
        <w:rPr>
          <w:rFonts w:ascii="Arial" w:cs="Arial" w:eastAsia="Arial" w:hAnsi="Arial"/>
          <w:b/>
          <w:bCs/>
          <w:color w:val="000000"/>
          <w:sz w:val="32"/>
          <w:szCs w:val="32"/>
        </w:rPr>
        <w:t xml:space="preserve">4. Output</w:t>
      </w:r>
    </w:p>
    <w:p>
      <w:pPr>
        <w:pStyle w:val="Heading2"/>
        <w:spacing w:after="80" w:before="280"/>
      </w:pPr>
      <w:r>
        <w:rPr>
          <w:rFonts w:ascii="Arial" w:cs="Arial" w:eastAsia="Arial" w:hAnsi="Arial"/>
          <w:b/>
          <w:bCs/>
          <w:color w:val="000000"/>
          <w:sz w:val="26"/>
          <w:szCs w:val="26"/>
        </w:rPr>
        <w:t xml:space="preserve">4.1 Report Container</w:t>
      </w:r>
    </w:p>
    <w:p>
      <w:pPr>
        <w:spacing w:after="80" w:before="80"/>
      </w:pPr>
      <w:r>
        <w:rPr>
          <w:rFonts w:ascii="Arial" w:cs="Arial" w:eastAsia="Arial" w:hAnsi="Arial"/>
          <w:color w:val="000000"/>
          <w:sz w:val="22"/>
          <w:szCs w:val="22"/>
        </w:rPr>
        <w:t xml:space="preserve">Each ingested report creates one OpenCTI Report container with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Value and Source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name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Verbatim report title from attrs.name. Never paraphrased.</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published</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UTC datetime from attrs.creation_date (Unix timestamp). Correct for GTI-authored reports. Crowdsourced reports have future-dated creation_date values, which is one of the reasons they are excluded.</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report_types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Mapped from GTI report_type. See Section 4.2.</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description</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attrs.autogenerated_summary if present, otherwise attrs.executive_summary.</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createdBy</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Google Threat Intelligence identity (Organization), resolved or created at startup.</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objectMarking</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Resolved from GTI_MARKING_DEFINITION env var. Default: TLP:AMBER+STRICT and Sensitive.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confidence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Configurable via GTI_CONFIDENCE. Default: 85 (High).</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externalReferences</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One External Reference per report. URL: GTI portal URL for the collection. Description: GTI Report ID (human-readable Mandiant report number, e.g. 26-10017422).</w:t>
            </w:r>
          </w:p>
        </w:tc>
      </w:tr>
    </w:tbl>
    <w:p>
      <w:pPr>
        <w:pStyle w:val="Heading2"/>
        <w:spacing w:after="80" w:before="280"/>
      </w:pPr>
      <w:r>
        <w:rPr>
          <w:rFonts w:ascii="Arial" w:cs="Arial" w:eastAsia="Arial" w:hAnsi="Arial"/>
          <w:b/>
          <w:bCs/>
          <w:color w:val="000000"/>
          <w:sz w:val="26"/>
          <w:szCs w:val="26"/>
        </w:rPr>
        <w:t xml:space="preserve">4.2 Report Type Mapping</w:t>
      </w:r>
    </w:p>
    <w:p>
      <w:pPr>
        <w:spacing w:after="80" w:before="80"/>
      </w:pPr>
      <w:r>
        <w:rPr>
          <w:rFonts w:ascii="Arial" w:cs="Arial" w:eastAsia="Arial" w:hAnsi="Arial"/>
          <w:color w:val="000000"/>
          <w:sz w:val="22"/>
          <w:szCs w:val="22"/>
        </w:rPr>
        <w:t xml:space="preserve">GTI report_type values are mapped to OpenCTI report_types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GTI Report Type</w:t>
            </w:r>
          </w:p>
        </w:tc>
        <w:tc>
          <w:tcPr>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OpenCTI report_types Value</w:t>
            </w:r>
          </w:p>
        </w:tc>
        <w:tc>
          <w:tcPr>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Weekly Vulnerability Exploitation Report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Activity Roundup</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Periodic roundup, not event-driven intelligence.</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Actor Profile</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Activity Roundup</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Reference document, not event-driven intelligence.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Trends and Forecasting</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Activity Roundup</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Forward-looking summary, not event-driven intelligence.</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All other types</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threat-report</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Default for event-driven, campaign, and incident reporting.</w:t>
            </w:r>
          </w:p>
        </w:tc>
      </w:tr>
    </w:tbl>
    <w:p>
      <w:pPr>
        <w:spacing w:after="80" w:before="80"/>
      </w:pPr>
      <w:r>
        <w:rPr>
          <w:rFonts w:ascii="Arial" w:cs="Arial" w:eastAsia="Arial" w:hAnsi="Arial"/>
          <w:color w:val="000000"/>
          <w:sz w:val="22"/>
          <w:szCs w:val="22"/>
        </w:rPr>
        <w:t xml:space="preserve">GTI report types observed across a 200-report sample: News Analysis (38%), Event Coverage/Implication (38%), Threat Activity Alert (9%), Trends and Forecasting (6%), Threat Activity Report (4%), Executive Perspective (4%), Weekly Vulnerability Exploitation Report (3%), Net Assessment (0.5%), Actor Profile (0.5%).</w:t>
      </w:r>
    </w:p>
    <w:p>
      <w:pPr>
        <w:pStyle w:val="Heading2"/>
        <w:spacing w:after="80" w:before="280"/>
      </w:pPr>
      <w:r>
        <w:rPr>
          <w:rFonts w:ascii="Arial" w:cs="Arial" w:eastAsia="Arial" w:hAnsi="Arial"/>
          <w:b/>
          <w:bCs/>
          <w:color w:val="000000"/>
          <w:sz w:val="26"/>
          <w:szCs w:val="26"/>
        </w:rPr>
        <w:t xml:space="preserve">4.3 File Attachments</w:t>
      </w:r>
    </w:p>
    <w:p>
      <w:pPr>
        <w:spacing w:after="80" w:before="80"/>
      </w:pPr>
      <w:r>
        <w:rPr>
          <w:rFonts w:ascii="Arial" w:cs="Arial" w:eastAsia="Arial" w:hAnsi="Arial"/>
          <w:color w:val="000000"/>
          <w:sz w:val="22"/>
          <w:szCs w:val="22"/>
        </w:rPr>
        <w:t xml:space="preserve">Two files are attached to every Report container:</w:t>
      </w:r>
    </w:p>
    <w:p>
      <w:pPr>
        <w:pStyle w:val="ListParagraph"/>
        <w:numPr>
          <w:ilvl w:val="0"/>
          <w:numId w:val="2"/>
        </w:numPr>
        <w:spacing w:after="40" w:before="40"/>
      </w:pPr>
      <w:r>
        <w:rPr>
          <w:rFonts w:ascii="Arial" w:cs="Arial" w:eastAsia="Arial" w:hAnsi="Arial"/>
          <w:color w:val="000000"/>
          <w:sz w:val="22"/>
          <w:szCs w:val="22"/>
        </w:rPr>
        <w:t xml:space="preserve">Official Mandiant PDF: Downloaded via the download_report endpoint. Named gti-{report_id}.pdf. Sizes range from approximately 140KB to 10MB. The PDF is validated against %PDF magic bytes before attachment. If the download fails, attachment is skipped non-fatally and the connector proceeds with markdown only.</w:t>
      </w:r>
    </w:p>
    <w:p>
      <w:pPr>
        <w:pStyle w:val="ListParagraph"/>
        <w:numPr>
          <w:ilvl w:val="0"/>
          <w:numId w:val="2"/>
        </w:numPr>
        <w:spacing w:after="40" w:before="40"/>
      </w:pPr>
      <w:r>
        <w:rPr>
          <w:rFonts w:ascii="Arial" w:cs="Arial" w:eastAsia="Arial" w:hAnsi="Arial"/>
          <w:color w:val="000000"/>
          <w:sz w:val="22"/>
          <w:szCs w:val="22"/>
        </w:rPr>
        <w:t xml:space="preserve">Markdown summary: A structured markdown document assembled from GTI API attributes. Named gti-report-{collection_id}.md. Contains: metadata block (report ID, version, type, publisher, origin, author, published date, last modified date, source URL, threat scape, targeted industries, targeted regions, affected systems, motivations), executive summary, AI-generated summary, analyst comment, and full report content. Provides a machine-readable structured fallback and supplements the PDF with structured metadata fields.</w:t>
      </w:r>
    </w:p>
    <w:p>
      <w:pPr>
        <w:pStyle w:val="Heading1"/>
        <w:spacing w:after="120" w:before="360"/>
      </w:pPr>
      <w:r>
        <w:rPr>
          <w:rFonts w:ascii="Arial" w:cs="Arial" w:eastAsia="Arial" w:hAnsi="Arial"/>
          <w:b/>
          <w:bCs/>
          <w:color w:val="000000"/>
          <w:sz w:val="32"/>
          <w:szCs w:val="32"/>
        </w:rPr>
        <w:t xml:space="preserve">5. Deduplication Strategy</w:t>
      </w:r>
    </w:p>
    <w:p>
      <w:pPr>
        <w:spacing w:after="80" w:before="80"/>
      </w:pPr>
      <w:r>
        <w:rPr>
          <w:rFonts w:ascii="Arial" w:cs="Arial" w:eastAsia="Arial" w:hAnsi="Arial"/>
          <w:color w:val="000000"/>
          <w:sz w:val="22"/>
          <w:szCs w:val="22"/>
        </w:rPr>
        <w:t xml:space="preserve">Deduplication is graph-driven via External Reference URL lookup. Before creating any entity, the connector queries OpenCTI for existing External Reference records with the GTI portal URL for the collection. If a match exists, the report is skipped.</w:t>
      </w:r>
    </w:p>
    <w:p>
      <w:pPr>
        <w:spacing w:after="80" w:before="80"/>
      </w:pPr>
      <w:r>
        <w:rPr>
          <w:rFonts w:ascii="Arial" w:cs="Arial" w:eastAsia="Arial" w:hAnsi="Arial"/>
          <w:color w:val="000000"/>
          <w:sz w:val="22"/>
          <w:szCs w:val="22"/>
        </w:rPr>
        <w:t xml:space="preserve">This is the canonical deduplication approach for this OpenCTI instance. Local state files are deprecated and not used. The graph-driven approach is more reliable because it survives container restarts, state resets, and reingestion runs without requiring synchronization of a local state file.</w:t>
      </w:r>
    </w:p>
    <w:p>
      <w:pPr>
        <w:spacing w:after="80" w:before="80"/>
      </w:pPr>
      <w:r>
        <w:rPr>
          <w:rFonts w:ascii="Arial" w:cs="Arial" w:eastAsia="Arial" w:hAnsi="Arial"/>
          <w:color w:val="000000"/>
          <w:sz w:val="22"/>
          <w:szCs w:val="22"/>
        </w:rPr>
        <w:t xml:space="preserve">Implication: state resets cause the connector to re-evaluate all reports in the API window against the graph, not to reingest everything. Reports that already exist in the graph are skipped. Only genuinely new reports are ingested.</w:t>
      </w:r>
    </w:p>
    <w:p>
      <w:pPr>
        <w:pStyle w:val="Heading1"/>
        <w:spacing w:after="120" w:before="360"/>
      </w:pPr>
      <w:r>
        <w:rPr>
          <w:rFonts w:ascii="Arial" w:cs="Arial" w:eastAsia="Arial" w:hAnsi="Arial"/>
          <w:b/>
          <w:bCs/>
          <w:color w:val="000000"/>
          <w:sz w:val="32"/>
          <w:szCs w:val="32"/>
        </w:rPr>
        <w:t xml:space="preserve">6. Container Semantics</w:t>
      </w:r>
    </w:p>
    <w:p>
      <w:pPr>
        <w:spacing w:after="80" w:before="80"/>
      </w:pPr>
      <w:r>
        <w:rPr>
          <w:rFonts w:ascii="Arial" w:cs="Arial" w:eastAsia="Arial" w:hAnsi="Arial"/>
          <w:color w:val="000000"/>
          <w:sz w:val="22"/>
          <w:szCs w:val="22"/>
        </w:rPr>
        <w:t xml:space="preserve">All ingested reports are created as Report containers, not Incident Response containers. This reflects the epistemological distinction enforced by the CTI Ingestion Manual: Reports capture external intelligence assertions; Incident Response containers capture internal first-hand observations.</w:t>
      </w:r>
    </w:p>
    <w:p>
      <w:pPr>
        <w:spacing w:after="80" w:before="80"/>
      </w:pPr>
      <w:r>
        <w:rPr>
          <w:rFonts w:ascii="Arial" w:cs="Arial" w:eastAsia="Arial" w:hAnsi="Arial"/>
          <w:color w:val="000000"/>
          <w:sz w:val="22"/>
          <w:szCs w:val="22"/>
        </w:rPr>
        <w:t xml:space="preserve">GTI reports are external intelligence produced by Mandiant analysts. They represent what a third-party source asserts about the threat landscape. No Sightings are created. No internal detection events are encoded. The Report container type is the correct and only appropriate container for this content.</w:t>
      </w:r>
    </w:p>
    <w:p>
      <w:pPr>
        <w:pStyle w:val="Heading1"/>
        <w:spacing w:after="120" w:before="360"/>
      </w:pPr>
      <w:r>
        <w:rPr>
          <w:rFonts w:ascii="Arial" w:cs="Arial" w:eastAsia="Arial" w:hAnsi="Arial"/>
          <w:b/>
          <w:bCs/>
          <w:color w:val="000000"/>
          <w:sz w:val="32"/>
          <w:szCs w:val="32"/>
        </w:rPr>
        <w:t xml:space="preserve">7. Processing Pipeline</w:t>
      </w:r>
    </w:p>
    <w:p>
      <w:pPr>
        <w:spacing w:after="80" w:before="80"/>
      </w:pPr>
      <w:r>
        <w:rPr>
          <w:rFonts w:ascii="Arial" w:cs="Arial" w:eastAsia="Arial" w:hAnsi="Arial"/>
          <w:color w:val="000000"/>
          <w:sz w:val="22"/>
          <w:szCs w:val="22"/>
        </w:rPr>
        <w:t xml:space="preserve">Each connector run executes the following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List reports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 /api/v3/collections with filter, order, and limit parameters. Cursor-based pagination for imports exceeding 40 reports.</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2. For each report: dedup check</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External Reference URL lookup against the graph. Skip if exists.</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Create External Reference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Pre-created before the Report to ensure the ext ref ID is available for the report creation call. Required by pycti 6.9.13 behavior.</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4. Create Report container</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With all metadata fields populated.</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Download PDF</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 download_report endpoint, then fetch signed GCS URL. Validate %PDF magic bytes.</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6. Attach PDF</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Via stix_domain_object.add_file.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 Build and attach markdown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Assemble markdown from attrs dict, write to /tmp, attach, clean up.</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8. Advance to next report</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Continue loop. Errors on individual reports are caught and logged; they do not abort the run.</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 Complete work item</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Store last_run timestamp in connector state. Mark work as processed.</w:t>
            </w:r>
          </w:p>
        </w:tc>
      </w:tr>
    </w:tbl>
    <w:p>
      <w:pPr>
        <w:pStyle w:val="Heading1"/>
        <w:spacing w:after="120" w:before="360"/>
      </w:pPr>
      <w:r>
        <w:rPr>
          <w:rFonts w:ascii="Arial" w:cs="Arial" w:eastAsia="Arial" w:hAnsi="Arial"/>
          <w:b/>
          <w:bCs/>
          <w:color w:val="000000"/>
          <w:sz w:val="32"/>
          <w:szCs w:val="32"/>
        </w:rPr>
        <w:t xml:space="preserve">8. API Client Design</w:t>
      </w:r>
    </w:p>
    <w:p>
      <w:pPr>
        <w:spacing w:after="80" w:before="80"/>
      </w:pPr>
      <w:r>
        <w:rPr>
          <w:rFonts w:ascii="Arial" w:cs="Arial" w:eastAsia="Arial" w:hAnsi="Arial"/>
          <w:color w:val="000000"/>
          <w:sz w:val="22"/>
          <w:szCs w:val="22"/>
        </w:rPr>
        <w:t xml:space="preserve">The connector uses the requests library directly rather than a GTI SDK. All API calls include the x-tool header identifying the connector for GTI-side observability.</w:t>
      </w:r>
    </w:p>
    <w:p>
      <w:pPr>
        <w:spacing w:after="80" w:before="80"/>
      </w:pPr>
      <w:r>
        <w:rPr>
          <w:rFonts w:ascii="Arial" w:cs="Arial" w:eastAsia="Arial" w:hAnsi="Arial"/>
          <w:color w:val="000000"/>
          <w:sz w:val="22"/>
          <w:szCs w:val="22"/>
        </w:rPr>
        <w:t xml:space="preserve">Timeout values: 30 seconds for list and metadata calls, 60 seconds for PDF downloads (larger files). No retry logic is implemented at the request level. Transient failures are logged as warnings and the affected report is skipped rather than retrying, to avoid blocking the full ingestion run on a single slow or unavailable resource.</w:t>
      </w:r>
    </w:p>
    <w:p>
      <w:pPr>
        <w:spacing w:after="80" w:before="80"/>
      </w:pPr>
      <w:r>
        <w:rPr>
          <w:rFonts w:ascii="Arial" w:cs="Arial" w:eastAsia="Arial" w:hAnsi="Arial"/>
          <w:color w:val="000000"/>
          <w:sz w:val="22"/>
          <w:szCs w:val="22"/>
        </w:rPr>
        <w:t xml:space="preserve">The signed GCS URL returned by download_report is fetched without the GTI API key header, as it is a pre-authenticated URL that does not require additional authentication.</w:t>
      </w:r>
    </w:p>
    <w:p>
      <w:pPr>
        <w:pStyle w:val="Heading1"/>
        <w:spacing w:after="120" w:before="360"/>
      </w:pPr>
      <w:r>
        <w:rPr>
          <w:rFonts w:ascii="Arial" w:cs="Arial" w:eastAsia="Arial" w:hAnsi="Arial"/>
          <w:b/>
          <w:bCs/>
          <w:color w:val="000000"/>
          <w:sz w:val="32"/>
          <w:szCs w:val="32"/>
        </w:rPr>
        <w:t xml:space="preserve">9. Error Handling and Resilience</w:t>
      </w:r>
    </w:p>
    <w:p>
      <w:pPr>
        <w:spacing w:after="80" w:before="80"/>
      </w:pPr>
      <w:r>
        <w:rPr>
          <w:rFonts w:ascii="Arial" w:cs="Arial" w:eastAsia="Arial" w:hAnsi="Arial"/>
          <w:color w:val="000000"/>
          <w:sz w:val="22"/>
          <w:szCs w:val="22"/>
        </w:rPr>
        <w:t xml:space="preserve">The connector is designed to be non-fatal at the per-report level. Individual report failures (PDF download failures, attachment errors, API errors) are caught, logged as warnings, and skipped. The run continues to the next report.</w:t>
      </w:r>
    </w:p>
    <w:p>
      <w:pPr>
        <w:spacing w:after="80" w:before="80"/>
      </w:pPr>
      <w:r>
        <w:rPr>
          <w:rFonts w:ascii="Arial" w:cs="Arial" w:eastAsia="Arial" w:hAnsi="Arial"/>
          <w:color w:val="000000"/>
          <w:sz w:val="22"/>
          <w:szCs w:val="22"/>
        </w:rPr>
        <w:t xml:space="preserve">Fatal errors at startup (unresolvable marking definitions, API connectivity failure) raise exceptions that cause the connector to exit with code 1. The container restart policy handles recovery.</w:t>
      </w:r>
    </w:p>
    <w:p>
      <w:pPr>
        <w:spacing w:after="80" w:before="80"/>
      </w:pPr>
      <w:r>
        <w:rPr>
          <w:rFonts w:ascii="Arial" w:cs="Arial" w:eastAsia="Arial" w:hAnsi="Arial"/>
          <w:color w:val="000000"/>
          <w:sz w:val="22"/>
          <w:szCs w:val="22"/>
        </w:rPr>
        <w:t xml:space="preserve">The 30-second connector startup log heuristic applies: absence of any log output within 30 seconds of container start indicates a hang, not a clean idle state.</w:t>
      </w:r>
    </w:p>
    <w:p>
      <w:pPr>
        <w:pStyle w:val="Heading1"/>
        <w:spacing w:after="120" w:before="360"/>
      </w:pPr>
      <w:r>
        <w:rPr>
          <w:rFonts w:ascii="Arial" w:cs="Arial" w:eastAsia="Arial" w:hAnsi="Arial"/>
          <w:b/>
          <w:bCs/>
          <w:color w:val="000000"/>
          <w:sz w:val="32"/>
          <w:szCs w:val="32"/>
        </w:rPr>
        <w:t xml:space="preserve">10.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800"/>
        <w:gridCol w:w="4560"/>
      </w:tblGrid>
      <w:tr>
        <w:trPr>
          <w:tblHeader/>
        </w:trPr>
        <w:tc>
          <w:tcPr>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Environment Variable</w:t>
            </w:r>
          </w:p>
        </w:tc>
        <w:tc>
          <w:tcPr>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GTI_API_KEY</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Required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GTI/VT API key. Used for all API calls.</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GTI_INTERVAL</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integer</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60</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Polling interval in minutes.</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GTI_IMPORT_LIMIT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integer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Maximum reports to fetch per run. API cap is 40 per page; pagination used for higher values.</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GTI_REPORT_FILTER</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collection_type:report origin:"Google Threat Intelligence"</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GTI API filter string. Quotes around multi-word origin value are required.</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GTI_CONFIDENCE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integer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85</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OpenCTI confidence score applied to all ingested reports.</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GTI_MARKING_DEFINITION</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TLP:AMBER+STRICT</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Comma-separated list of marking definition names. Resolved to UUIDs at startup.</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PDF_RENDER_TIMEOUT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integer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Retained in config for forward compatibility. Not used in current implementation (PDF download replaces local rendering).</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OPENCTI_URL</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http://localhost:8080</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OpenCTI platform base URL.</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OPENCTI_TOKEN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Required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OpenCTI connector service account token.</w:t>
            </w:r>
          </w:p>
        </w:tc>
      </w:tr>
    </w:tbl>
    <w:p>
      <w:pPr>
        <w:pStyle w:val="Heading1"/>
        <w:spacing w:after="120" w:before="360"/>
      </w:pPr>
      <w:r>
        <w:rPr>
          <w:rFonts w:ascii="Arial" w:cs="Arial" w:eastAsia="Arial" w:hAnsi="Arial"/>
          <w:b/>
          <w:bCs/>
          <w:color w:val="000000"/>
          <w:sz w:val="32"/>
          <w:szCs w:val="32"/>
        </w:rPr>
        <w:t xml:space="preserve">11. Known Limitations and Gaps</w:t>
      </w:r>
    </w:p>
    <w:p>
      <w:pPr>
        <w:pStyle w:val="Heading2"/>
        <w:spacing w:after="80" w:before="280"/>
      </w:pPr>
      <w:r>
        <w:rPr>
          <w:rFonts w:ascii="Arial" w:cs="Arial" w:eastAsia="Arial" w:hAnsi="Arial"/>
          <w:b/>
          <w:bCs/>
          <w:color w:val="000000"/>
          <w:sz w:val="26"/>
          <w:szCs w:val="26"/>
        </w:rPr>
        <w:t xml:space="preserve">11.1 API Window</w:t>
      </w:r>
    </w:p>
    <w:p>
      <w:pPr>
        <w:spacing w:after="80" w:before="80"/>
      </w:pPr>
      <w:r>
        <w:rPr>
          <w:rFonts w:ascii="Arial" w:cs="Arial" w:eastAsia="Arial" w:hAnsi="Arial"/>
          <w:color w:val="000000"/>
          <w:sz w:val="22"/>
          <w:szCs w:val="22"/>
        </w:rPr>
        <w:t xml:space="preserve">The collections endpoint ordered by relevance- does not guarantee chronological completeness for historical reports. Reports older than the relevance window may not appear in API results regardless of import limit. The connector is designed for ongoing operational ingestion of current production, not full historical backfill.</w:t>
      </w:r>
    </w:p>
    <w:p>
      <w:pPr>
        <w:pStyle w:val="Heading2"/>
        <w:spacing w:after="80" w:before="280"/>
      </w:pPr>
      <w:r>
        <w:rPr>
          <w:rFonts w:ascii="Arial" w:cs="Arial" w:eastAsia="Arial" w:hAnsi="Arial"/>
          <w:b/>
          <w:bCs/>
          <w:color w:val="000000"/>
          <w:sz w:val="26"/>
          <w:szCs w:val="26"/>
        </w:rPr>
        <w:t xml:space="preserve">11.2 PDF Availability</w:t>
      </w:r>
    </w:p>
    <w:p>
      <w:pPr>
        <w:spacing w:after="80" w:before="80"/>
      </w:pPr>
      <w:r>
        <w:rPr>
          <w:rFonts w:ascii="Arial" w:cs="Arial" w:eastAsia="Arial" w:hAnsi="Arial"/>
          <w:color w:val="000000"/>
          <w:sz w:val="22"/>
          <w:szCs w:val="22"/>
        </w:rPr>
        <w:t xml:space="preserve">Not all GTI collection types have PDFs available via the download_report endpoint. The connector handles 404 and other non-200 responses non-fatally, attaching markdown only in those cases. No cases of missing PDFs were observed during production testing across 39 reports.</w:t>
      </w:r>
    </w:p>
    <w:p>
      <w:pPr>
        <w:pStyle w:val="Heading2"/>
        <w:spacing w:after="80" w:before="280"/>
      </w:pPr>
      <w:r>
        <w:rPr>
          <w:rFonts w:ascii="Arial" w:cs="Arial" w:eastAsia="Arial" w:hAnsi="Arial"/>
          <w:b/>
          <w:bCs/>
          <w:color w:val="000000"/>
          <w:sz w:val="26"/>
          <w:szCs w:val="26"/>
        </w:rPr>
        <w:t xml:space="preserve">11.3 Report Type Coverage</w:t>
      </w:r>
    </w:p>
    <w:p>
      <w:pPr>
        <w:spacing w:after="80" w:before="80"/>
      </w:pPr>
      <w:r>
        <w:rPr>
          <w:rFonts w:ascii="Arial" w:cs="Arial" w:eastAsia="Arial" w:hAnsi="Arial"/>
          <w:color w:val="000000"/>
          <w:sz w:val="22"/>
          <w:szCs w:val="22"/>
        </w:rPr>
        <w:t xml:space="preserve">The GTI report_type field drives the OpenCTI report_types mapping. New GTI report types introduced after connector deployment will map to threat-report by default. The mapping table in _map_report_type should be reviewed periodically against the GTI report type taxonomy.</w:t>
      </w:r>
    </w:p>
    <w:p>
      <w:pPr>
        <w:pStyle w:val="Heading2"/>
        <w:spacing w:after="80" w:before="280"/>
      </w:pPr>
      <w:r>
        <w:rPr>
          <w:rFonts w:ascii="Arial" w:cs="Arial" w:eastAsia="Arial" w:hAnsi="Arial"/>
          <w:b/>
          <w:bCs/>
          <w:color w:val="000000"/>
          <w:sz w:val="26"/>
          <w:szCs w:val="26"/>
        </w:rPr>
        <w:t xml:space="preserve">11.4 Mandiant API PDF Access</w:t>
      </w:r>
    </w:p>
    <w:p>
      <w:pPr>
        <w:spacing w:after="80" w:before="80"/>
      </w:pPr>
      <w:r>
        <w:rPr>
          <w:rFonts w:ascii="Arial" w:cs="Arial" w:eastAsia="Arial" w:hAnsi="Arial"/>
          <w:color w:val="000000"/>
          <w:sz w:val="22"/>
          <w:szCs w:val="22"/>
        </w:rPr>
        <w:t xml:space="preserve">The Mandiant Advantage API (api.intelligence.mandiant.com) requires separate OAuth credentials (key ID + secret) that are not currently configured. If obtained, this would provide an alternative PDF source path via the legacy collection endpoint. The connector code does not include this path; it would require a separate implementation decision.</w:t>
      </w:r>
    </w:p>
    <w:p>
      <w:pPr>
        <w:pStyle w:val="Heading2"/>
        <w:spacing w:after="80" w:before="280"/>
      </w:pPr>
      <w:r>
        <w:rPr>
          <w:rFonts w:ascii="Arial" w:cs="Arial" w:eastAsia="Arial" w:hAnsi="Arial"/>
          <w:b/>
          <w:bCs/>
          <w:color w:val="000000"/>
          <w:sz w:val="26"/>
          <w:szCs w:val="26"/>
        </w:rPr>
        <w:t xml:space="preserve">11.5 mandiant_uuid Field</w:t>
      </w:r>
    </w:p>
    <w:p>
      <w:pPr>
        <w:spacing w:after="80" w:before="80"/>
      </w:pPr>
      <w:r>
        <w:rPr>
          <w:rFonts w:ascii="Arial" w:cs="Arial" w:eastAsia="Arial" w:hAnsi="Arial"/>
          <w:color w:val="000000"/>
          <w:sz w:val="22"/>
          <w:szCs w:val="22"/>
        </w:rPr>
        <w:t xml:space="preserve">The mandiant_uuid field, which is the internal Mandiant document identifier used by the legacy STIX endpoint, is not returned by the GTI API at this subscription tier. The human-readable report_id field (e.g. 26-10017422) is used instead for external reference descriptions and PDF filenames.</w:t>
      </w:r>
    </w:p>
    <w:p>
      <w:pPr>
        <w:pStyle w:val="Heading2"/>
        <w:spacing w:after="80" w:before="280"/>
      </w:pPr>
      <w:r>
        <w:rPr>
          <w:rFonts w:ascii="Arial" w:cs="Arial" w:eastAsia="Arial" w:hAnsi="Arial"/>
          <w:b/>
          <w:bCs/>
          <w:color w:val="000000"/>
          <w:sz w:val="26"/>
          <w:szCs w:val="26"/>
        </w:rPr>
        <w:t xml:space="preserve">11.6 Relationship Ingestion</w:t>
      </w:r>
    </w:p>
    <w:p>
      <w:pPr>
        <w:spacing w:after="80" w:before="80"/>
      </w:pPr>
      <w:r>
        <w:rPr>
          <w:rFonts w:ascii="Arial" w:cs="Arial" w:eastAsia="Arial" w:hAnsi="Arial"/>
          <w:color w:val="000000"/>
          <w:sz w:val="22"/>
          <w:szCs w:val="22"/>
        </w:rPr>
        <w:t xml:space="preserve">The connector ingests Report containers only. It does not create Intrusion Set, Malware, Vulnerability, Attack Pattern, or Observable entities from report content. Relationship-level ingestion requires manual analyst review and ingestion per the CTI Ingestion Manual. The connector satisfies the Containment requirement; Contextualization and Completeness require analyst action.</w:t>
      </w:r>
    </w:p>
    <w:p>
      <w:pPr>
        <w:pStyle w:val="Heading1"/>
        <w:spacing w:after="120" w:before="360"/>
      </w:pPr>
      <w:r>
        <w:rPr>
          <w:rFonts w:ascii="Arial" w:cs="Arial" w:eastAsia="Arial" w:hAnsi="Arial"/>
          <w:b/>
          <w:bCs/>
          <w:color w:val="000000"/>
          <w:sz w:val="32"/>
          <w:szCs w:val="32"/>
        </w:rPr>
        <w:t xml:space="preserve">12. Out of Scope</w:t>
      </w:r>
    </w:p>
    <w:p>
      <w:pPr>
        <w:pStyle w:val="ListParagraph"/>
        <w:numPr>
          <w:ilvl w:val="0"/>
          <w:numId w:val="2"/>
        </w:numPr>
        <w:spacing w:after="40" w:before="40"/>
      </w:pPr>
      <w:r>
        <w:rPr>
          <w:rFonts w:ascii="Arial" w:cs="Arial" w:eastAsia="Arial" w:hAnsi="Arial"/>
          <w:color w:val="000000"/>
          <w:sz w:val="22"/>
          <w:szCs w:val="22"/>
        </w:rPr>
        <w:t xml:space="preserve">Crowdsourced OSINT articles (origin:Crowdsourced) — excluded by design.</w:t>
      </w:r>
    </w:p>
    <w:p>
      <w:pPr>
        <w:pStyle w:val="ListParagraph"/>
        <w:numPr>
          <w:ilvl w:val="0"/>
          <w:numId w:val="2"/>
        </w:numPr>
        <w:spacing w:after="40" w:before="40"/>
      </w:pPr>
      <w:r>
        <w:rPr>
          <w:rFonts w:ascii="Arial" w:cs="Arial" w:eastAsia="Arial" w:hAnsi="Arial"/>
          <w:color w:val="000000"/>
          <w:sz w:val="22"/>
          <w:szCs w:val="22"/>
        </w:rPr>
        <w:t xml:space="preserve">Automated entity extraction and relationship creation from report content.</w:t>
      </w:r>
    </w:p>
    <w:p>
      <w:pPr>
        <w:pStyle w:val="ListParagraph"/>
        <w:numPr>
          <w:ilvl w:val="0"/>
          <w:numId w:val="2"/>
        </w:numPr>
        <w:spacing w:after="40" w:before="40"/>
      </w:pPr>
      <w:r>
        <w:rPr>
          <w:rFonts w:ascii="Arial" w:cs="Arial" w:eastAsia="Arial" w:hAnsi="Arial"/>
          <w:color w:val="000000"/>
          <w:sz w:val="22"/>
          <w:szCs w:val="22"/>
        </w:rPr>
        <w:t xml:space="preserve">Indicator (Observable) extraction — the workbench parser handles this during manual review.</w:t>
      </w:r>
    </w:p>
    <w:p>
      <w:pPr>
        <w:pStyle w:val="ListParagraph"/>
        <w:numPr>
          <w:ilvl w:val="0"/>
          <w:numId w:val="2"/>
        </w:numPr>
        <w:spacing w:after="40" w:before="40"/>
      </w:pPr>
      <w:r>
        <w:rPr>
          <w:rFonts w:ascii="Arial" w:cs="Arial" w:eastAsia="Arial" w:hAnsi="Arial"/>
          <w:color w:val="000000"/>
          <w:sz w:val="22"/>
          <w:szCs w:val="22"/>
        </w:rPr>
        <w:t xml:space="preserve">Collection Requirement labelling — requires analyst judgment, not automated.</w:t>
      </w:r>
    </w:p>
    <w:p>
      <w:pPr>
        <w:pStyle w:val="ListParagraph"/>
        <w:numPr>
          <w:ilvl w:val="0"/>
          <w:numId w:val="2"/>
        </w:numPr>
        <w:spacing w:after="40" w:before="40"/>
      </w:pPr>
      <w:r>
        <w:rPr>
          <w:rFonts w:ascii="Arial" w:cs="Arial" w:eastAsia="Arial" w:hAnsi="Arial"/>
          <w:color w:val="000000"/>
          <w:sz w:val="22"/>
          <w:szCs w:val="22"/>
        </w:rPr>
        <w:t xml:space="preserve">Assessment Notes for vocabulary fields — requires analyst judgment, not automated.</w:t>
      </w:r>
    </w:p>
    <w:p>
      <w:pPr>
        <w:pStyle w:val="ListParagraph"/>
        <w:numPr>
          <w:ilvl w:val="0"/>
          <w:numId w:val="2"/>
        </w:numPr>
        <w:spacing w:after="40" w:before="40"/>
      </w:pPr>
      <w:r>
        <w:rPr>
          <w:rFonts w:ascii="Arial" w:cs="Arial" w:eastAsia="Arial" w:hAnsi="Arial"/>
          <w:color w:val="000000"/>
          <w:sz w:val="22"/>
          <w:szCs w:val="22"/>
        </w:rPr>
        <w:t xml:space="preserve">Sightings — not applicable to external intelligence containers.</w:t>
      </w:r>
    </w:p>
    <w:p>
      <w:pPr>
        <w:pStyle w:val="ListParagraph"/>
        <w:numPr>
          <w:ilvl w:val="0"/>
          <w:numId w:val="2"/>
        </w:numPr>
        <w:spacing w:after="40" w:before="40"/>
      </w:pPr>
      <w:r>
        <w:rPr>
          <w:rFonts w:ascii="Arial" w:cs="Arial" w:eastAsia="Arial" w:hAnsi="Arial"/>
          <w:color w:val="000000"/>
          <w:sz w:val="22"/>
          <w:szCs w:val="22"/>
        </w:rPr>
        <w:t xml:space="preserve">GTI threat actor profiles, malware profiles, and IoC collections — separate collection types not covered by this connector.</w:t>
      </w:r>
    </w:p>
    <w:p>
      <w:pPr>
        <w:pStyle w:val="Heading1"/>
        <w:spacing w:after="120" w:before="360"/>
      </w:pPr>
      <w:r>
        <w:rPr>
          <w:rFonts w:ascii="Arial" w:cs="Arial" w:eastAsia="Arial" w:hAnsi="Arial"/>
          <w:b/>
          <w:bCs/>
          <w:color w:val="000000"/>
          <w:sz w:val="32"/>
          <w:szCs w:val="32"/>
        </w:rPr>
        <w:t xml:space="preserve">13.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pycti</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6.9.13</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OpenCTI Python client. Pinned to match platform version.</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requests</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&gt;=2.31.0</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HTTP client for GTI API calls.</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pyyaml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&gt;=6.0.1</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Config file parsing.</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markdown</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&gt;=3.5.0</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Markdown to HTML conversion for the markdown attachment.</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python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3.11</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Runtime. Base image: python:3.11-slim.</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libmagic1</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system</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Required by pycti/python-magic. Must be installed via apt before pip.</w:t>
            </w:r>
          </w:p>
        </w:tc>
      </w:tr>
    </w:tbl>
    <w:p>
      <w:pPr>
        <w:pStyle w:val="Heading1"/>
        <w:spacing w:after="120" w:before="360"/>
      </w:pPr>
      <w:r>
        <w:rPr>
          <w:rFonts w:ascii="Arial" w:cs="Arial" w:eastAsia="Arial" w:hAnsi="Arial"/>
          <w:b/>
          <w:bCs/>
          <w:color w:val="000000"/>
          <w:sz w:val="32"/>
          <w:szCs w:val="32"/>
        </w:rPr>
        <w:t xml:space="preserve">14.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Exclude crowdsourced content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Crowdsourced reports violate Four Cs: wrong author (journalist not GTI), future-dated creation_date (placeholder timestamps), wrong report type, secondary source content. Applying the origin:"Google Threat Intelligence" filter to the API query ensures only Mandiant analyst-authored reports are ingested.</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Use relevance- ordering instead of date ordering</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The GTI portal uses relevance- ordering as its default. Date ordering returned different and less analytically significant results. Relevance ordering surfaces the most important current reports first.</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Graph-driven deduplication via External Reference URL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Canonical approach for this OpenCTI instance. State files are deprecated. URL-based dedup survives container restarts and state resets without requiring local state synchronization.</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Use creation_date as published date</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For GTI-authored reports, creation_date is the actual publication timestamp. Crowdsourced reports have artificially future-dated creation_date values (e.g. 2026-09-01), which is another reason to exclude them rather than attempt to correct the date.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Two-step PDF download via download_report endpoint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GTI API does not expose PDF bytes directly. The download_report endpoint returns a signed GCS URL which is then fetched separately. The /api/v3/reports/{id}/pdf endpoint returns 404 at this subscription tier. The /ui/ browser endpoint is reCAPTCHA protected. The download_report endpoint was identified by inspecting GTI portal browser network traffic.</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Attach both PDF and markdown</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PDF provides the official formatted Mandiant report. Markdown provides a structured machine-readable representation of GTI API metadata fields (threat scape, targeted regions, motivations, etc.) that are not present in the PDF text and are analytically useful for future automated processing.</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Non-fatal per-report error handling</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Individual report failures should not abort an entire ingestion run. The connector logs warnings and continues, ensuring maximum coverage across a batch even when individual reports encounter transient errors.</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Pre-create External Reference before Report</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pycti 6.9.13 requires the External Reference ID to be available at Report creation time. Creating it in a separate prior API call ensures the ID is available for the externalReferences parameter.</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Report containers only, no entity extraction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Automated entity extraction from unstructured report text would produce low-confidence, unqualified entities without the Assessment Notes and relationship descriptions required by the CTI Ingestion Manual. The connector satisfies Containment. Contextualization and Completeness are analyst responsibilities.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2026-04-06T20:42:50.282Z</dcterms:created>
  <dcterms:modified xsi:type="dcterms:W3CDTF">2026-04-06T20:42:50.282Z</dcterms:modified>
</cp:coreProperties>
</file>

<file path=docProps/custom.xml><?xml version="1.0" encoding="utf-8"?>
<Properties xmlns="http://schemas.openxmlformats.org/officeDocument/2006/custom-properties" xmlns:vt="http://schemas.openxmlformats.org/officeDocument/2006/docPropsVTypes"/>
</file>