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83E" w14:paraId="408548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400" w:type="dxa"/>
              <w:left w:w="400" w:type="dxa"/>
              <w:bottom w:w="400" w:type="dxa"/>
              <w:right w:w="400" w:type="dxa"/>
            </w:tcMar>
          </w:tcPr>
          <w:p w14:paraId="4085485A" w14:textId="77777777" w:rsidR="0009283E" w:rsidRDefault="004D39CB">
            <w:pPr>
              <w:spacing w:after="120"/>
            </w:pPr>
            <w:proofErr w:type="spellStart"/>
            <w:r>
              <w:rPr>
                <w:b/>
                <w:bCs/>
                <w:color w:val="FFFFFF"/>
                <w:sz w:val="44"/>
                <w:szCs w:val="44"/>
              </w:rPr>
              <w:t>VirusTotal</w:t>
            </w:r>
            <w:proofErr w:type="spellEnd"/>
            <w:r>
              <w:rPr>
                <w:b/>
                <w:bCs/>
                <w:color w:val="FFFFFF"/>
                <w:sz w:val="44"/>
                <w:szCs w:val="44"/>
              </w:rPr>
              <w:t xml:space="preserve"> Enrichment Connector</w:t>
            </w:r>
          </w:p>
          <w:p w14:paraId="4085485B" w14:textId="77777777" w:rsidR="0009283E" w:rsidRDefault="004D39CB">
            <w:pPr>
              <w:spacing w:after="120"/>
            </w:pPr>
            <w:r>
              <w:rPr>
                <w:color w:val="D6E4F0"/>
                <w:sz w:val="28"/>
                <w:szCs w:val="28"/>
              </w:rPr>
              <w:t>Scoping &amp; Design Document</w:t>
            </w:r>
          </w:p>
          <w:p w14:paraId="4085485C" w14:textId="77777777" w:rsidR="0009283E" w:rsidRDefault="004D39CB">
            <w:r>
              <w:rPr>
                <w:color w:val="D6E4F0"/>
                <w:sz w:val="20"/>
                <w:szCs w:val="20"/>
              </w:rPr>
              <w:t>OpenCTI 6.9.13  |  Custom Connector  |  Internal Use Only</w:t>
            </w:r>
          </w:p>
        </w:tc>
      </w:tr>
    </w:tbl>
    <w:p w14:paraId="4085485E" w14:textId="77777777" w:rsidR="0009283E" w:rsidRDefault="000928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9283E" w14:paraId="40854861" w14:textId="77777777" w:rsidTr="00401D6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4085485F" w14:textId="77777777" w:rsidR="0009283E" w:rsidRDefault="004D39CB">
            <w:r>
              <w:rPr>
                <w:b/>
                <w:bCs/>
                <w:color w:val="FFFFFF"/>
                <w:sz w:val="20"/>
                <w:szCs w:val="20"/>
              </w:rPr>
              <w:t>Field</w:t>
            </w:r>
          </w:p>
        </w:tc>
        <w:tc>
          <w:tcPr>
            <w:tcW w:w="62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40854860" w14:textId="77777777" w:rsidR="0009283E" w:rsidRDefault="004D39CB">
            <w:r>
              <w:rPr>
                <w:color w:val="FFFFFF"/>
                <w:sz w:val="20"/>
                <w:szCs w:val="20"/>
              </w:rPr>
              <w:t>Value</w:t>
            </w:r>
          </w:p>
        </w:tc>
      </w:tr>
      <w:tr w:rsidR="0009283E" w14:paraId="408548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854862" w14:textId="77777777" w:rsidR="0009283E" w:rsidRDefault="004D39CB">
            <w:r>
              <w:rPr>
                <w:b/>
                <w:bCs/>
                <w:color w:val="1F3864"/>
                <w:sz w:val="20"/>
                <w:szCs w:val="20"/>
              </w:rPr>
              <w:t>Document Status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863" w14:textId="77777777" w:rsidR="0009283E" w:rsidRDefault="004D39CB">
            <w:r>
              <w:rPr>
                <w:color w:val="404040"/>
                <w:sz w:val="20"/>
                <w:szCs w:val="20"/>
              </w:rPr>
              <w:t>Final</w:t>
            </w:r>
          </w:p>
        </w:tc>
      </w:tr>
      <w:tr w:rsidR="0009283E" w14:paraId="408548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854865" w14:textId="77777777" w:rsidR="0009283E" w:rsidRDefault="004D39CB">
            <w:r>
              <w:rPr>
                <w:b/>
                <w:bCs/>
                <w:color w:val="1F3864"/>
                <w:sz w:val="20"/>
                <w:szCs w:val="20"/>
              </w:rPr>
              <w:t>Connector 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866" w14:textId="77777777" w:rsidR="0009283E" w:rsidRDefault="004D39CB">
            <w:r>
              <w:rPr>
                <w:color w:val="404040"/>
                <w:sz w:val="20"/>
                <w:szCs w:val="20"/>
              </w:rPr>
              <w:t>Custom (based on OpenCTI upstream)</w:t>
            </w:r>
          </w:p>
        </w:tc>
      </w:tr>
      <w:tr w:rsidR="0009283E" w14:paraId="408548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854868" w14:textId="77777777" w:rsidR="0009283E" w:rsidRDefault="004D39CB">
            <w:r>
              <w:rPr>
                <w:b/>
                <w:bCs/>
                <w:color w:val="1F3864"/>
                <w:sz w:val="20"/>
                <w:szCs w:val="20"/>
              </w:rPr>
              <w:t>Platform 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869" w14:textId="77777777" w:rsidR="0009283E" w:rsidRDefault="004D39CB">
            <w:r>
              <w:rPr>
                <w:color w:val="404040"/>
                <w:sz w:val="20"/>
                <w:szCs w:val="20"/>
              </w:rPr>
              <w:t>OpenCTI 6.9.13</w:t>
            </w:r>
          </w:p>
        </w:tc>
      </w:tr>
      <w:tr w:rsidR="0009283E" w14:paraId="408548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85486B" w14:textId="77777777" w:rsidR="0009283E" w:rsidRDefault="004D39CB">
            <w:r>
              <w:rPr>
                <w:b/>
                <w:bCs/>
                <w:color w:val="1F3864"/>
                <w:sz w:val="20"/>
                <w:szCs w:val="20"/>
              </w:rPr>
              <w:t>Classification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86C" w14:textId="77777777" w:rsidR="0009283E" w:rsidRDefault="004D39CB">
            <w:r>
              <w:rPr>
                <w:color w:val="404040"/>
                <w:sz w:val="20"/>
                <w:szCs w:val="20"/>
              </w:rPr>
              <w:t>TLP:GREEN — Internal Use Only</w:t>
            </w:r>
          </w:p>
        </w:tc>
      </w:tr>
      <w:tr w:rsidR="0009283E" w14:paraId="408548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85486E" w14:textId="77777777" w:rsidR="0009283E" w:rsidRDefault="004D39CB">
            <w:r>
              <w:rPr>
                <w:b/>
                <w:bCs/>
                <w:color w:val="1F3864"/>
                <w:sz w:val="20"/>
                <w:szCs w:val="20"/>
              </w:rPr>
              <w:t>Connector Type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86F" w14:textId="77777777" w:rsidR="0009283E" w:rsidRDefault="004D39CB">
            <w:r>
              <w:rPr>
                <w:color w:val="404040"/>
                <w:sz w:val="20"/>
                <w:szCs w:val="20"/>
              </w:rPr>
              <w:t>INTERNAL_ENRICHMENT</w:t>
            </w:r>
          </w:p>
        </w:tc>
      </w:tr>
      <w:tr w:rsidR="0009283E" w14:paraId="408548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854871" w14:textId="77777777" w:rsidR="0009283E" w:rsidRDefault="004D39CB">
            <w:r>
              <w:rPr>
                <w:b/>
                <w:bCs/>
                <w:color w:val="1F3864"/>
                <w:sz w:val="20"/>
                <w:szCs w:val="20"/>
              </w:rPr>
              <w:t>Connector Scope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872" w14:textId="77777777" w:rsidR="0009283E" w:rsidRDefault="004D39CB">
            <w:proofErr w:type="spellStart"/>
            <w:r>
              <w:rPr>
                <w:color w:val="404040"/>
                <w:sz w:val="20"/>
                <w:szCs w:val="20"/>
              </w:rPr>
              <w:t>StixFile</w:t>
            </w:r>
            <w:proofErr w:type="spellEnd"/>
            <w:r>
              <w:rPr>
                <w:color w:val="404040"/>
                <w:sz w:val="20"/>
                <w:szCs w:val="20"/>
              </w:rPr>
              <w:t xml:space="preserve">, Artifact, IPv4-Addr, Domain-Name, </w:t>
            </w:r>
            <w:proofErr w:type="spellStart"/>
            <w:r>
              <w:rPr>
                <w:color w:val="404040"/>
                <w:sz w:val="20"/>
                <w:szCs w:val="20"/>
              </w:rPr>
              <w:t>Url</w:t>
            </w:r>
            <w:proofErr w:type="spellEnd"/>
          </w:p>
        </w:tc>
      </w:tr>
    </w:tbl>
    <w:p w14:paraId="40854874" w14:textId="77777777" w:rsidR="0009283E" w:rsidRDefault="0009283E">
      <w:pPr>
        <w:spacing w:after="120"/>
      </w:pPr>
    </w:p>
    <w:p w14:paraId="40854875" w14:textId="77777777" w:rsidR="0009283E" w:rsidRDefault="004D39CB">
      <w:pPr>
        <w:pStyle w:val="Heading2"/>
        <w:pBdr>
          <w:bottom w:val="single" w:sz="6" w:space="1" w:color="2E75B6"/>
        </w:pBdr>
      </w:pPr>
      <w:r>
        <w:t>1. Purpose</w:t>
      </w:r>
    </w:p>
    <w:p w14:paraId="40854876" w14:textId="77777777" w:rsidR="0009283E" w:rsidRDefault="004D39CB">
      <w:pPr>
        <w:spacing w:after="160"/>
      </w:pPr>
      <w:r>
        <w:rPr>
          <w:color w:val="404040"/>
        </w:rPr>
        <w:t xml:space="preserve">This document defines the functional scope, architectural decisions, and data model philosophy governing the custom </w:t>
      </w:r>
      <w:proofErr w:type="spellStart"/>
      <w:r>
        <w:rPr>
          <w:color w:val="404040"/>
        </w:rPr>
        <w:t>VirusTotal</w:t>
      </w:r>
      <w:proofErr w:type="spellEnd"/>
      <w:r>
        <w:rPr>
          <w:color w:val="404040"/>
        </w:rPr>
        <w:t xml:space="preserve"> internal enrichment connector deployed on the OpenCTI instance. It serves as the authoritative reference for analysts, administrators, and developers interacting with or maintaining the connector.</w:t>
      </w:r>
    </w:p>
    <w:p w14:paraId="40854877" w14:textId="77777777" w:rsidR="0009283E" w:rsidRDefault="004D39CB">
      <w:pPr>
        <w:spacing w:after="160"/>
      </w:pPr>
      <w:r>
        <w:rPr>
          <w:color w:val="404040"/>
        </w:rPr>
        <w:t xml:space="preserve">The connector enriches observable entities by querying the </w:t>
      </w:r>
      <w:proofErr w:type="spellStart"/>
      <w:r>
        <w:rPr>
          <w:color w:val="404040"/>
        </w:rPr>
        <w:t>VirusTotal</w:t>
      </w:r>
      <w:proofErr w:type="spellEnd"/>
      <w:r>
        <w:rPr>
          <w:color w:val="404040"/>
        </w:rPr>
        <w:t xml:space="preserve"> v3 API and persisting derived STIX 2.1 entities, relationships, indicators, and assessment notes into the OpenCTI knowledge graph. All enrichment activity is restricted to analyst workbench containers (Requests for Information) to enforce deliberate, context-aware intelligence production.</w:t>
      </w:r>
    </w:p>
    <w:p w14:paraId="40854878" w14:textId="77777777" w:rsidR="0009283E" w:rsidRDefault="0009283E">
      <w:pPr>
        <w:spacing w:after="120"/>
      </w:pPr>
    </w:p>
    <w:p w14:paraId="40854879" w14:textId="77777777" w:rsidR="0009283E" w:rsidRDefault="004D39CB">
      <w:pPr>
        <w:pStyle w:val="Heading2"/>
        <w:pBdr>
          <w:bottom w:val="single" w:sz="6" w:space="1" w:color="2E75B6"/>
        </w:pBdr>
      </w:pPr>
      <w:r>
        <w:t>2. Scope and Supported Entity Types</w:t>
      </w:r>
    </w:p>
    <w:p w14:paraId="4085487A" w14:textId="77777777" w:rsidR="0009283E" w:rsidRDefault="004D39CB">
      <w:pPr>
        <w:spacing w:after="160"/>
      </w:pPr>
      <w:r>
        <w:rPr>
          <w:color w:val="404040"/>
        </w:rPr>
        <w:t>The connector processes the following observable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09283E" w14:paraId="408548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85487B" w14:textId="77777777" w:rsidR="0009283E" w:rsidRDefault="004D39CB">
            <w:r>
              <w:rPr>
                <w:b/>
                <w:bCs/>
                <w:color w:val="FFFFFF"/>
                <w:sz w:val="20"/>
                <w:szCs w:val="20"/>
              </w:rPr>
              <w:t>Entity Type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85487C" w14:textId="77777777" w:rsidR="0009283E" w:rsidRDefault="004D39CB">
            <w:r>
              <w:rPr>
                <w:b/>
                <w:bCs/>
                <w:color w:val="FFFFFF"/>
                <w:sz w:val="20"/>
                <w:szCs w:val="20"/>
              </w:rPr>
              <w:t>VT API Endpoint</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85487D" w14:textId="77777777" w:rsidR="0009283E" w:rsidRDefault="004D39CB">
            <w:r>
              <w:rPr>
                <w:b/>
                <w:bCs/>
                <w:color w:val="FFFFFF"/>
                <w:sz w:val="20"/>
                <w:szCs w:val="20"/>
              </w:rPr>
              <w:t>Derived Objects</w:t>
            </w:r>
          </w:p>
        </w:tc>
      </w:tr>
      <w:tr w:rsidR="0009283E" w14:paraId="408548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87F" w14:textId="77777777" w:rsidR="0009283E" w:rsidRDefault="004D39CB">
            <w:proofErr w:type="spellStart"/>
            <w:r>
              <w:rPr>
                <w:color w:val="404040"/>
                <w:sz w:val="20"/>
                <w:szCs w:val="20"/>
              </w:rPr>
              <w:t>StixFile</w:t>
            </w:r>
            <w:proofErr w:type="spellEnd"/>
            <w:r>
              <w:rPr>
                <w:color w:val="404040"/>
                <w:sz w:val="20"/>
                <w:szCs w:val="20"/>
              </w:rPr>
              <w:t xml:space="preserve"> / Artifact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880" w14:textId="77777777" w:rsidR="0009283E" w:rsidRDefault="004D39CB">
            <w:r>
              <w:rPr>
                <w:color w:val="404040"/>
                <w:sz w:val="20"/>
                <w:szCs w:val="20"/>
              </w:rPr>
              <w:t>/</w:t>
            </w:r>
            <w:proofErr w:type="gramStart"/>
            <w:r>
              <w:rPr>
                <w:color w:val="404040"/>
                <w:sz w:val="20"/>
                <w:szCs w:val="20"/>
              </w:rPr>
              <w:t>files/{</w:t>
            </w:r>
            <w:proofErr w:type="gramEnd"/>
            <w:r>
              <w:rPr>
                <w:color w:val="404040"/>
                <w:sz w:val="20"/>
                <w:szCs w:val="20"/>
              </w:rPr>
              <w:t>hash}</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881" w14:textId="77777777" w:rsidR="0009283E" w:rsidRDefault="004D39CB">
            <w:r>
              <w:rPr>
                <w:color w:val="404040"/>
                <w:sz w:val="20"/>
                <w:szCs w:val="20"/>
              </w:rPr>
              <w:t xml:space="preserve">Malware, Vulnerability, </w:t>
            </w:r>
            <w:proofErr w:type="spellStart"/>
            <w:r>
              <w:rPr>
                <w:color w:val="404040"/>
                <w:sz w:val="20"/>
                <w:szCs w:val="20"/>
              </w:rPr>
              <w:t>AttackPattern</w:t>
            </w:r>
            <w:proofErr w:type="spellEnd"/>
            <w:r>
              <w:rPr>
                <w:color w:val="404040"/>
                <w:sz w:val="20"/>
                <w:szCs w:val="20"/>
              </w:rPr>
              <w:t>, YARA Indicators, Notes</w:t>
            </w:r>
          </w:p>
        </w:tc>
      </w:tr>
      <w:tr w:rsidR="0009283E" w14:paraId="408548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883" w14:textId="77777777" w:rsidR="0009283E" w:rsidRDefault="004D39CB">
            <w:r>
              <w:rPr>
                <w:color w:val="404040"/>
                <w:sz w:val="20"/>
                <w:szCs w:val="20"/>
              </w:rPr>
              <w:t>IPv4-Addr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884" w14:textId="77777777" w:rsidR="0009283E" w:rsidRDefault="004D39CB">
            <w:r>
              <w:rPr>
                <w:color w:val="404040"/>
                <w:sz w:val="20"/>
                <w:szCs w:val="20"/>
              </w:rPr>
              <w:t>/</w:t>
            </w:r>
            <w:proofErr w:type="spellStart"/>
            <w:proofErr w:type="gramStart"/>
            <w:r>
              <w:rPr>
                <w:color w:val="404040"/>
                <w:sz w:val="20"/>
                <w:szCs w:val="20"/>
              </w:rPr>
              <w:t>ip</w:t>
            </w:r>
            <w:proofErr w:type="gramEnd"/>
            <w:r>
              <w:rPr>
                <w:color w:val="404040"/>
                <w:sz w:val="20"/>
                <w:szCs w:val="20"/>
              </w:rPr>
              <w:t>_</w:t>
            </w:r>
            <w:proofErr w:type="gramStart"/>
            <w:r>
              <w:rPr>
                <w:color w:val="404040"/>
                <w:sz w:val="20"/>
                <w:szCs w:val="20"/>
              </w:rPr>
              <w:t>addresses</w:t>
            </w:r>
            <w:proofErr w:type="spellEnd"/>
            <w:r>
              <w:rPr>
                <w:color w:val="404040"/>
                <w:sz w:val="20"/>
                <w:szCs w:val="20"/>
              </w:rPr>
              <w:t>/{</w:t>
            </w:r>
            <w:proofErr w:type="spellStart"/>
            <w:proofErr w:type="gramEnd"/>
            <w:r>
              <w:rPr>
                <w:color w:val="404040"/>
                <w:sz w:val="20"/>
                <w:szCs w:val="20"/>
              </w:rPr>
              <w:t>ip</w:t>
            </w:r>
            <w:proofErr w:type="spellEnd"/>
            <w:r>
              <w:rPr>
                <w:color w:val="404040"/>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885" w14:textId="77777777" w:rsidR="0009283E" w:rsidRDefault="004D39CB">
            <w:proofErr w:type="spellStart"/>
            <w:proofErr w:type="gramStart"/>
            <w:r>
              <w:rPr>
                <w:color w:val="404040"/>
                <w:sz w:val="20"/>
                <w:szCs w:val="20"/>
              </w:rPr>
              <w:t>AutonomousSystem</w:t>
            </w:r>
            <w:proofErr w:type="spellEnd"/>
            <w:proofErr w:type="gramEnd"/>
            <w:r>
              <w:rPr>
                <w:color w:val="404040"/>
                <w:sz w:val="20"/>
                <w:szCs w:val="20"/>
              </w:rPr>
              <w:t>, Location (Country), Notes</w:t>
            </w:r>
          </w:p>
        </w:tc>
      </w:tr>
      <w:tr w:rsidR="0009283E" w14:paraId="408548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887" w14:textId="77777777" w:rsidR="0009283E" w:rsidRDefault="004D39CB">
            <w:r>
              <w:rPr>
                <w:color w:val="404040"/>
                <w:sz w:val="20"/>
                <w:szCs w:val="20"/>
              </w:rPr>
              <w:t>Domain-Name / Hostname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888" w14:textId="77777777" w:rsidR="0009283E" w:rsidRDefault="004D39CB">
            <w:r>
              <w:rPr>
                <w:color w:val="404040"/>
                <w:sz w:val="20"/>
                <w:szCs w:val="20"/>
              </w:rPr>
              <w:t>/</w:t>
            </w:r>
            <w:proofErr w:type="gramStart"/>
            <w:r>
              <w:rPr>
                <w:color w:val="404040"/>
                <w:sz w:val="20"/>
                <w:szCs w:val="20"/>
              </w:rPr>
              <w:t>domains/{</w:t>
            </w:r>
            <w:proofErr w:type="gramEnd"/>
            <w:r>
              <w:rPr>
                <w:color w:val="404040"/>
                <w:sz w:val="20"/>
                <w:szCs w:val="20"/>
              </w:rPr>
              <w:t>domain}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889" w14:textId="77777777" w:rsidR="0009283E" w:rsidRDefault="004D39CB">
            <w:r>
              <w:rPr>
                <w:color w:val="404040"/>
                <w:sz w:val="20"/>
                <w:szCs w:val="20"/>
              </w:rPr>
              <w:t>IPv4-Addr (passive DNS), Notes</w:t>
            </w:r>
          </w:p>
        </w:tc>
      </w:tr>
      <w:tr w:rsidR="0009283E" w14:paraId="408548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88B" w14:textId="77777777" w:rsidR="0009283E" w:rsidRDefault="004D39CB">
            <w:proofErr w:type="spellStart"/>
            <w:r>
              <w:rPr>
                <w:color w:val="404040"/>
                <w:sz w:val="20"/>
                <w:szCs w:val="20"/>
              </w:rPr>
              <w:t>Url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88C" w14:textId="77777777" w:rsidR="0009283E" w:rsidRDefault="004D39CB">
            <w:r>
              <w:rPr>
                <w:color w:val="404040"/>
                <w:sz w:val="20"/>
                <w:szCs w:val="20"/>
              </w:rPr>
              <w:t>/</w:t>
            </w:r>
            <w:proofErr w:type="spellStart"/>
            <w:proofErr w:type="gramStart"/>
            <w:r>
              <w:rPr>
                <w:color w:val="404040"/>
                <w:sz w:val="20"/>
                <w:szCs w:val="20"/>
              </w:rPr>
              <w:t>urls</w:t>
            </w:r>
            <w:proofErr w:type="spellEnd"/>
            <w:r>
              <w:rPr>
                <w:color w:val="404040"/>
                <w:sz w:val="20"/>
                <w:szCs w:val="20"/>
              </w:rPr>
              <w:t>/{</w:t>
            </w:r>
            <w:proofErr w:type="spellStart"/>
            <w:proofErr w:type="gramEnd"/>
            <w:r>
              <w:rPr>
                <w:color w:val="404040"/>
                <w:sz w:val="20"/>
                <w:szCs w:val="20"/>
              </w:rPr>
              <w:t>encoded_url</w:t>
            </w:r>
            <w:proofErr w:type="spellEnd"/>
            <w:r>
              <w:rPr>
                <w:color w:val="404040"/>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88D" w14:textId="77777777" w:rsidR="0009283E" w:rsidRDefault="004D39CB">
            <w:r>
              <w:rPr>
                <w:color w:val="404040"/>
                <w:sz w:val="20"/>
                <w:szCs w:val="20"/>
              </w:rPr>
              <w:t>Notes</w:t>
            </w:r>
          </w:p>
        </w:tc>
      </w:tr>
    </w:tbl>
    <w:p w14:paraId="4085488F" w14:textId="77777777" w:rsidR="0009283E" w:rsidRDefault="0009283E">
      <w:pPr>
        <w:spacing w:after="120"/>
      </w:pPr>
    </w:p>
    <w:p w14:paraId="40854890" w14:textId="77777777" w:rsidR="0009283E" w:rsidRDefault="004D39CB">
      <w:pPr>
        <w:pStyle w:val="Heading2"/>
        <w:pBdr>
          <w:bottom w:val="single" w:sz="6" w:space="1" w:color="2E75B6"/>
        </w:pBdr>
      </w:pPr>
      <w:r>
        <w:t>3. Trigger Gate — RFI-Only Policy</w:t>
      </w:r>
    </w:p>
    <w:p w14:paraId="40854891" w14:textId="77777777" w:rsidR="0009283E" w:rsidRDefault="004D39CB">
      <w:pPr>
        <w:spacing w:after="160"/>
      </w:pPr>
      <w:r>
        <w:rPr>
          <w:color w:val="404040"/>
        </w:rPr>
        <w:t>The connector operates with CONNECTOR_AUTO=true, meaning OpenCTI will dispatch enrichment jobs automatically when observables are created or manually when an analyst requests it. However, the connector enforces an internal runtime gate that restricts enrichment to observables that belong to at least one Case-</w:t>
      </w:r>
      <w:proofErr w:type="spellStart"/>
      <w:r>
        <w:rPr>
          <w:color w:val="404040"/>
        </w:rPr>
        <w:t>Rfi</w:t>
      </w:r>
      <w:proofErr w:type="spellEnd"/>
      <w:r>
        <w:rPr>
          <w:color w:val="404040"/>
        </w:rPr>
        <w:t xml:space="preserve"> (Request for Information) container.</w:t>
      </w:r>
    </w:p>
    <w:p w14:paraId="40854892" w14:textId="77777777" w:rsidR="0009283E" w:rsidRDefault="004D39CB">
      <w:pPr>
        <w:pStyle w:val="Heading3"/>
      </w:pPr>
      <w:r>
        <w:t>Policy Rationale</w:t>
      </w:r>
    </w:p>
    <w:p w14:paraId="40854893" w14:textId="77777777" w:rsidR="0009283E" w:rsidRDefault="004D39CB">
      <w:pPr>
        <w:spacing w:after="160"/>
      </w:pPr>
      <w:r>
        <w:rPr>
          <w:color w:val="404040"/>
        </w:rPr>
        <w:t xml:space="preserve">Enrichment connectors that fire unconditionally introduce noise into the knowledge graph. VT enrichment produces derived entities, relationships, and notes — all of which must be contained per the data model. </w:t>
      </w:r>
      <w:proofErr w:type="spellStart"/>
      <w:r>
        <w:rPr>
          <w:color w:val="404040"/>
        </w:rPr>
        <w:t>Unscoped</w:t>
      </w:r>
      <w:proofErr w:type="spellEnd"/>
      <w:r>
        <w:rPr>
          <w:color w:val="404040"/>
        </w:rPr>
        <w:t xml:space="preserve"> enrichment creates orphaned objects that cannot be attributed to an analytical context. The RFI-only gate ensures that enrichment is always analyst-initiated within a deliberate investigative context.</w:t>
      </w:r>
    </w:p>
    <w:p w14:paraId="40854894" w14:textId="77777777" w:rsidR="0009283E" w:rsidRDefault="004D39CB">
      <w:pPr>
        <w:pStyle w:val="Heading3"/>
      </w:pPr>
      <w:r>
        <w:t>Gate Implementation</w:t>
      </w:r>
    </w:p>
    <w:p w14:paraId="40854895" w14:textId="77777777" w:rsidR="0009283E" w:rsidRDefault="004D39CB">
      <w:pPr>
        <w:pStyle w:val="ListParagraph"/>
        <w:numPr>
          <w:ilvl w:val="0"/>
          <w:numId w:val="2"/>
        </w:numPr>
        <w:spacing w:after="100"/>
      </w:pPr>
      <w:r>
        <w:rPr>
          <w:color w:val="404040"/>
        </w:rPr>
        <w:t>On every enrichment job, the connector queries OpenCTI for all containers the observable belongs to.</w:t>
      </w:r>
    </w:p>
    <w:p w14:paraId="40854896" w14:textId="77777777" w:rsidR="0009283E" w:rsidRDefault="004D39CB">
      <w:pPr>
        <w:pStyle w:val="ListParagraph"/>
        <w:numPr>
          <w:ilvl w:val="0"/>
          <w:numId w:val="2"/>
        </w:numPr>
        <w:spacing w:after="100"/>
      </w:pPr>
      <w:r>
        <w:rPr>
          <w:color w:val="404040"/>
        </w:rPr>
        <w:t xml:space="preserve">Only containers of </w:t>
      </w:r>
      <w:proofErr w:type="spellStart"/>
      <w:r>
        <w:rPr>
          <w:color w:val="404040"/>
        </w:rPr>
        <w:t>entity_type</w:t>
      </w:r>
      <w:proofErr w:type="spellEnd"/>
      <w:r>
        <w:rPr>
          <w:color w:val="404040"/>
        </w:rPr>
        <w:t xml:space="preserve"> Case-</w:t>
      </w:r>
      <w:proofErr w:type="spellStart"/>
      <w:r>
        <w:rPr>
          <w:color w:val="404040"/>
        </w:rPr>
        <w:t>Rfi</w:t>
      </w:r>
      <w:proofErr w:type="spellEnd"/>
      <w:r>
        <w:rPr>
          <w:color w:val="404040"/>
        </w:rPr>
        <w:t xml:space="preserve"> are considered. Case-Incident containers (e.g. UDM alert cases) are explicitly excluded.</w:t>
      </w:r>
    </w:p>
    <w:p w14:paraId="40854897" w14:textId="77777777" w:rsidR="0009283E" w:rsidRDefault="004D39CB">
      <w:pPr>
        <w:pStyle w:val="ListParagraph"/>
        <w:numPr>
          <w:ilvl w:val="0"/>
          <w:numId w:val="2"/>
        </w:numPr>
        <w:spacing w:after="100"/>
      </w:pPr>
      <w:r>
        <w:rPr>
          <w:color w:val="404040"/>
        </w:rPr>
        <w:t>If no Case-</w:t>
      </w:r>
      <w:proofErr w:type="spellStart"/>
      <w:r>
        <w:rPr>
          <w:color w:val="404040"/>
        </w:rPr>
        <w:t>Rfi</w:t>
      </w:r>
      <w:proofErr w:type="spellEnd"/>
      <w:r>
        <w:rPr>
          <w:color w:val="404040"/>
        </w:rPr>
        <w:t xml:space="preserve"> is found, enrichment is silently skipped with an INFO-level log entry. No API calls are made to VT. No objects are created.</w:t>
      </w:r>
    </w:p>
    <w:p w14:paraId="40854898" w14:textId="77777777" w:rsidR="0009283E" w:rsidRDefault="004D39CB">
      <w:pPr>
        <w:pStyle w:val="ListParagraph"/>
        <w:numPr>
          <w:ilvl w:val="0"/>
          <w:numId w:val="2"/>
        </w:numPr>
        <w:spacing w:after="100"/>
      </w:pPr>
      <w:r>
        <w:rPr>
          <w:color w:val="404040"/>
        </w:rPr>
        <w:t>If one or more Case-</w:t>
      </w:r>
      <w:proofErr w:type="spellStart"/>
      <w:r>
        <w:rPr>
          <w:color w:val="404040"/>
        </w:rPr>
        <w:t>Rfi</w:t>
      </w:r>
      <w:proofErr w:type="spellEnd"/>
      <w:r>
        <w:rPr>
          <w:color w:val="404040"/>
        </w:rPr>
        <w:t xml:space="preserve"> containers are found, the most recently updated one is selected as the target container for all derived objects.</w:t>
      </w:r>
    </w:p>
    <w:p w14:paraId="40854899" w14:textId="77777777" w:rsidR="0009283E" w:rsidRDefault="000928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83E" w14:paraId="4085489B" w14:textId="77777777">
        <w:tblPrEx>
          <w:tblCellMar>
            <w:top w:w="0" w:type="dxa"/>
            <w:bottom w:w="0" w:type="dxa"/>
          </w:tblCellMar>
        </w:tblPrEx>
        <w:tc>
          <w:tcPr>
            <w:tcW w:w="9360" w:type="dxa"/>
            <w:tcBorders>
              <w:top w:val="none" w:sz="0" w:space="0" w:color="FFFFFF"/>
              <w:left w:val="single" w:sz="12" w:space="0" w:color="C55A11"/>
              <w:bottom w:val="none" w:sz="0" w:space="0" w:color="FFFFFF"/>
              <w:right w:val="none" w:sz="0" w:space="0" w:color="FFFFFF"/>
            </w:tcBorders>
            <w:shd w:val="clear" w:color="auto" w:fill="F2F2F2"/>
            <w:tcMar>
              <w:top w:w="100" w:type="dxa"/>
              <w:left w:w="160" w:type="dxa"/>
              <w:bottom w:w="100" w:type="dxa"/>
              <w:right w:w="160" w:type="dxa"/>
            </w:tcMar>
          </w:tcPr>
          <w:p w14:paraId="4085489A" w14:textId="77777777" w:rsidR="0009283E" w:rsidRDefault="004D39CB">
            <w:pPr>
              <w:spacing w:after="60"/>
            </w:pPr>
            <w:r>
              <w:rPr>
                <w:b/>
                <w:bCs/>
                <w:color w:val="C55A11"/>
                <w:sz w:val="20"/>
                <w:szCs w:val="20"/>
              </w:rPr>
              <w:t xml:space="preserve">Design Decision: </w:t>
            </w:r>
            <w:r>
              <w:rPr>
                <w:color w:val="404040"/>
                <w:sz w:val="20"/>
                <w:szCs w:val="20"/>
              </w:rPr>
              <w:t xml:space="preserve">The most recently updated RFI is used rather than the most recently created one. </w:t>
            </w:r>
            <w:proofErr w:type="spellStart"/>
            <w:r>
              <w:rPr>
                <w:color w:val="404040"/>
                <w:sz w:val="20"/>
                <w:szCs w:val="20"/>
              </w:rPr>
              <w:t>updated_at</w:t>
            </w:r>
            <w:proofErr w:type="spellEnd"/>
            <w:r>
              <w:rPr>
                <w:color w:val="404040"/>
                <w:sz w:val="20"/>
                <w:szCs w:val="20"/>
              </w:rPr>
              <w:t xml:space="preserve"> advances whenever an analyst actively modifies a container. This is a reliable proxy for 'the RFI currently under active investigation' without requiring user identity to be passed through the enrichment job payload.</w:t>
            </w:r>
          </w:p>
        </w:tc>
      </w:tr>
    </w:tbl>
    <w:p w14:paraId="4085489C" w14:textId="77777777" w:rsidR="0009283E" w:rsidRDefault="0009283E">
      <w:pPr>
        <w:spacing w:after="120"/>
      </w:pPr>
    </w:p>
    <w:p w14:paraId="4085489D" w14:textId="77777777" w:rsidR="0009283E" w:rsidRDefault="004D39CB">
      <w:pPr>
        <w:pStyle w:val="Heading2"/>
        <w:pBdr>
          <w:bottom w:val="single" w:sz="6" w:space="1" w:color="2E75B6"/>
        </w:pBdr>
      </w:pPr>
      <w:r>
        <w:t>4. TLP Policy</w:t>
      </w:r>
    </w:p>
    <w:p w14:paraId="4085489E" w14:textId="77777777" w:rsidR="0009283E" w:rsidRDefault="004D39CB">
      <w:pPr>
        <w:pStyle w:val="Heading3"/>
      </w:pPr>
      <w:r>
        <w:t>Input Ceiling</w:t>
      </w:r>
    </w:p>
    <w:p w14:paraId="4085489F" w14:textId="77777777" w:rsidR="0009283E" w:rsidRDefault="004D39CB">
      <w:pPr>
        <w:spacing w:after="160"/>
      </w:pPr>
      <w:r>
        <w:rPr>
          <w:color w:val="404040"/>
        </w:rPr>
        <w:t>The connector respects a configurable maximum TLP level (VIRUSTOTAL_MAX_TLP). Observables marked above this level are not sent to the VT API. This prevents restricted intelligence from leaving the instance via an external API. The current configuration is set to TLP:RED to support the analyst team's full observable set.</w:t>
      </w:r>
    </w:p>
    <w:p w14:paraId="408548A0" w14:textId="77777777" w:rsidR="0009283E" w:rsidRDefault="004D39CB">
      <w:pPr>
        <w:pStyle w:val="Heading3"/>
      </w:pPr>
      <w:r>
        <w:t>Output Marking</w:t>
      </w:r>
    </w:p>
    <w:p w14:paraId="408548A1" w14:textId="77777777" w:rsidR="0009283E" w:rsidRDefault="004D39CB">
      <w:pPr>
        <w:spacing w:after="160"/>
      </w:pPr>
      <w:r>
        <w:rPr>
          <w:color w:val="404040"/>
        </w:rPr>
        <w:t xml:space="preserve">All objects created by the connector — entities, relationships, notes, and indicators — carry TLP:GREEN </w:t>
      </w:r>
      <w:proofErr w:type="spellStart"/>
      <w:r>
        <w:rPr>
          <w:color w:val="404040"/>
        </w:rPr>
        <w:t>object_marking_refs</w:t>
      </w:r>
      <w:proofErr w:type="spellEnd"/>
      <w:r>
        <w:rPr>
          <w:color w:val="404040"/>
        </w:rPr>
        <w:t xml:space="preserve">. This reflects the nature of VT enrichment output: derived from a public threat intelligence service, </w:t>
      </w:r>
      <w:proofErr w:type="gramStart"/>
      <w:r>
        <w:rPr>
          <w:color w:val="404040"/>
        </w:rPr>
        <w:t>sharable</w:t>
      </w:r>
      <w:proofErr w:type="gramEnd"/>
      <w:r>
        <w:rPr>
          <w:color w:val="404040"/>
        </w:rPr>
        <w:t xml:space="preserve"> within the intelligence community, but not unrestricted.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83E" w14:paraId="408548A3" w14:textId="77777777">
        <w:tblPrEx>
          <w:tblCellMar>
            <w:top w:w="0" w:type="dxa"/>
            <w:bottom w:w="0" w:type="dxa"/>
          </w:tblCellMar>
        </w:tblPrEx>
        <w:tc>
          <w:tcPr>
            <w:tcW w:w="9360" w:type="dxa"/>
            <w:tcBorders>
              <w:top w:val="none" w:sz="0" w:space="0" w:color="FFFFFF"/>
              <w:left w:val="single" w:sz="12" w:space="0" w:color="C55A11"/>
              <w:bottom w:val="none" w:sz="0" w:space="0" w:color="FFFFFF"/>
              <w:right w:val="none" w:sz="0" w:space="0" w:color="FFFFFF"/>
            </w:tcBorders>
            <w:shd w:val="clear" w:color="auto" w:fill="F2F2F2"/>
            <w:tcMar>
              <w:top w:w="100" w:type="dxa"/>
              <w:left w:w="160" w:type="dxa"/>
              <w:bottom w:w="100" w:type="dxa"/>
              <w:right w:w="160" w:type="dxa"/>
            </w:tcMar>
          </w:tcPr>
          <w:p w14:paraId="408548A2" w14:textId="77777777" w:rsidR="0009283E" w:rsidRDefault="004D39CB">
            <w:pPr>
              <w:spacing w:after="60"/>
            </w:pPr>
            <w:r>
              <w:rPr>
                <w:b/>
                <w:bCs/>
                <w:color w:val="C55A11"/>
                <w:sz w:val="20"/>
                <w:szCs w:val="20"/>
              </w:rPr>
              <w:lastRenderedPageBreak/>
              <w:t xml:space="preserve">Design Decision: </w:t>
            </w:r>
            <w:r>
              <w:rPr>
                <w:color w:val="404040"/>
                <w:sz w:val="20"/>
                <w:szCs w:val="20"/>
              </w:rPr>
              <w:t>TLP:GREEN is applied uniformly to all VT-derived objects rather than inheriting from the enriched observable. Inheriting TLP:RED or TLP:AMBER onto VT-derived objects would misrepresent the origin and handling requirements of that intelligence. VT data is public-source enrichment; the marking should reflect the source, not the parent observable.</w:t>
            </w:r>
          </w:p>
        </w:tc>
      </w:tr>
    </w:tbl>
    <w:p w14:paraId="408548A4" w14:textId="77777777" w:rsidR="0009283E" w:rsidRDefault="0009283E">
      <w:pPr>
        <w:spacing w:after="120"/>
      </w:pPr>
    </w:p>
    <w:p w14:paraId="408548A5" w14:textId="77777777" w:rsidR="0009283E" w:rsidRDefault="004D39CB">
      <w:pPr>
        <w:pStyle w:val="Heading2"/>
        <w:pBdr>
          <w:bottom w:val="single" w:sz="6" w:space="1" w:color="2E75B6"/>
        </w:pBdr>
      </w:pPr>
      <w:r>
        <w:t>5. Authorship and Identity</w:t>
      </w:r>
    </w:p>
    <w:p w14:paraId="408548A6" w14:textId="77777777" w:rsidR="0009283E" w:rsidRDefault="004D39CB">
      <w:pPr>
        <w:spacing w:after="160"/>
      </w:pPr>
      <w:r>
        <w:rPr>
          <w:color w:val="404040"/>
        </w:rPr>
        <w:t xml:space="preserve">At startup, the connector registers or resolves a </w:t>
      </w:r>
      <w:proofErr w:type="spellStart"/>
      <w:r>
        <w:rPr>
          <w:color w:val="404040"/>
        </w:rPr>
        <w:t>VirusTotal</w:t>
      </w:r>
      <w:proofErr w:type="spellEnd"/>
      <w:r>
        <w:rPr>
          <w:color w:val="404040"/>
        </w:rPr>
        <w:t xml:space="preserve"> Organization Identity in the OpenCTI graph. This is a graph-persisted entity — not a transient stix2.Identity object that only exists within a bundle. All objects created by the connector carry this identity as </w:t>
      </w:r>
      <w:proofErr w:type="spellStart"/>
      <w:r>
        <w:rPr>
          <w:color w:val="404040"/>
        </w:rPr>
        <w:t>created_by_ref</w:t>
      </w:r>
      <w:proofErr w:type="spellEnd"/>
      <w:r>
        <w:rPr>
          <w:color w:val="40404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83E" w14:paraId="408548A8" w14:textId="77777777">
        <w:tblPrEx>
          <w:tblCellMar>
            <w:top w:w="0" w:type="dxa"/>
            <w:bottom w:w="0" w:type="dxa"/>
          </w:tblCellMar>
        </w:tblPrEx>
        <w:tc>
          <w:tcPr>
            <w:tcW w:w="9360" w:type="dxa"/>
            <w:tcBorders>
              <w:top w:val="none" w:sz="0" w:space="0" w:color="FFFFFF"/>
              <w:left w:val="single" w:sz="12" w:space="0" w:color="C55A11"/>
              <w:bottom w:val="none" w:sz="0" w:space="0" w:color="FFFFFF"/>
              <w:right w:val="none" w:sz="0" w:space="0" w:color="FFFFFF"/>
            </w:tcBorders>
            <w:shd w:val="clear" w:color="auto" w:fill="F2F2F2"/>
            <w:tcMar>
              <w:top w:w="100" w:type="dxa"/>
              <w:left w:w="160" w:type="dxa"/>
              <w:bottom w:w="100" w:type="dxa"/>
              <w:right w:w="160" w:type="dxa"/>
            </w:tcMar>
          </w:tcPr>
          <w:p w14:paraId="408548A7" w14:textId="77777777" w:rsidR="0009283E" w:rsidRDefault="004D39CB">
            <w:pPr>
              <w:spacing w:after="60"/>
            </w:pPr>
            <w:r>
              <w:rPr>
                <w:b/>
                <w:bCs/>
                <w:color w:val="C55A11"/>
                <w:sz w:val="20"/>
                <w:szCs w:val="20"/>
              </w:rPr>
              <w:t xml:space="preserve">Design Decision: </w:t>
            </w:r>
            <w:r>
              <w:rPr>
                <w:color w:val="404040"/>
                <w:sz w:val="20"/>
                <w:szCs w:val="20"/>
              </w:rPr>
              <w:t>The upstream connector generated the author identity inline as a transient bundle object. This means every enrichment run would produce a floating author that was not anchored to any known Organization entity in the graph. The custom connector resolves or creates the identity via the API at startup, making it a first-class graph citizen that analysts can query and reference.</w:t>
            </w:r>
          </w:p>
        </w:tc>
      </w:tr>
    </w:tbl>
    <w:p w14:paraId="408548A9" w14:textId="77777777" w:rsidR="0009283E" w:rsidRDefault="0009283E">
      <w:pPr>
        <w:spacing w:after="120"/>
      </w:pPr>
    </w:p>
    <w:p w14:paraId="408548AA" w14:textId="77777777" w:rsidR="0009283E" w:rsidRDefault="004D39CB">
      <w:pPr>
        <w:pStyle w:val="Heading2"/>
        <w:pBdr>
          <w:bottom w:val="single" w:sz="6" w:space="1" w:color="2E75B6"/>
        </w:pBdr>
      </w:pPr>
      <w:r>
        <w:t>6. Indicator Policy</w:t>
      </w:r>
    </w:p>
    <w:p w14:paraId="408548AB" w14:textId="77777777" w:rsidR="0009283E" w:rsidRDefault="004D39CB">
      <w:pPr>
        <w:spacing w:after="160"/>
      </w:pPr>
      <w:r>
        <w:rPr>
          <w:color w:val="404040"/>
        </w:rPr>
        <w:t>The connector creates Indicators exclusively for YARA rules returned by VT's crowdsourced YARA analysis. No other Indicator type is created by this connector.</w:t>
      </w:r>
    </w:p>
    <w:p w14:paraId="408548AC" w14:textId="77777777" w:rsidR="0009283E" w:rsidRDefault="004D39CB">
      <w:pPr>
        <w:pStyle w:val="Heading3"/>
      </w:pPr>
      <w:r>
        <w:t>Removed Upstream Behavior</w:t>
      </w:r>
    </w:p>
    <w:p w14:paraId="408548AD" w14:textId="77777777" w:rsidR="0009283E" w:rsidRDefault="004D39CB">
      <w:pPr>
        <w:spacing w:after="160"/>
      </w:pPr>
      <w:r>
        <w:rPr>
          <w:color w:val="404040"/>
        </w:rPr>
        <w:t>The upstream connector created stix2.Indicator objects when VT's malicious detection count exceeded a configurable threshold (VIRUSTOTAL_*_INDICATOR_CREATE_POSITIVES). This behavior has been removed entirely for the following reasons:</w:t>
      </w:r>
    </w:p>
    <w:p w14:paraId="408548AE" w14:textId="77777777" w:rsidR="0009283E" w:rsidRDefault="004D39CB">
      <w:pPr>
        <w:pStyle w:val="ListParagraph"/>
        <w:numPr>
          <w:ilvl w:val="0"/>
          <w:numId w:val="2"/>
        </w:numPr>
        <w:spacing w:after="100"/>
      </w:pPr>
      <w:r>
        <w:rPr>
          <w:color w:val="404040"/>
        </w:rPr>
        <w:t xml:space="preserve">Indicators in OpenCTI are </w:t>
      </w:r>
      <w:proofErr w:type="gramStart"/>
      <w:r>
        <w:rPr>
          <w:color w:val="404040"/>
        </w:rPr>
        <w:t>auto-generated</w:t>
      </w:r>
      <w:proofErr w:type="gramEnd"/>
      <w:r>
        <w:rPr>
          <w:color w:val="404040"/>
        </w:rPr>
        <w:t xml:space="preserve"> by the inference engine when an observable is linked to detection logic. Connector-created Indicators bypass this mechanism and create unmanaged detection artifacts.</w:t>
      </w:r>
    </w:p>
    <w:p w14:paraId="408548AF" w14:textId="77777777" w:rsidR="0009283E" w:rsidRDefault="004D39CB">
      <w:pPr>
        <w:pStyle w:val="ListParagraph"/>
        <w:numPr>
          <w:ilvl w:val="0"/>
          <w:numId w:val="2"/>
        </w:numPr>
        <w:spacing w:after="100"/>
      </w:pPr>
      <w:r>
        <w:rPr>
          <w:color w:val="404040"/>
        </w:rPr>
        <w:t xml:space="preserve">A detection count threshold is not a sufficient basis for creating an Indicator. Indicators require pattern validation, a defined </w:t>
      </w:r>
      <w:proofErr w:type="spellStart"/>
      <w:r>
        <w:rPr>
          <w:color w:val="404040"/>
        </w:rPr>
        <w:t>valid_from</w:t>
      </w:r>
      <w:proofErr w:type="spellEnd"/>
      <w:r>
        <w:rPr>
          <w:color w:val="404040"/>
        </w:rPr>
        <w:t>/</w:t>
      </w:r>
      <w:proofErr w:type="spellStart"/>
      <w:r>
        <w:rPr>
          <w:color w:val="404040"/>
        </w:rPr>
        <w:t>valid_until</w:t>
      </w:r>
      <w:proofErr w:type="spellEnd"/>
      <w:r>
        <w:rPr>
          <w:color w:val="404040"/>
        </w:rPr>
        <w:t xml:space="preserve"> window, and attribution — none of which VT's detection stats provide.</w:t>
      </w:r>
    </w:p>
    <w:p w14:paraId="408548B0" w14:textId="77777777" w:rsidR="0009283E" w:rsidRDefault="004D39CB">
      <w:pPr>
        <w:pStyle w:val="ListParagraph"/>
        <w:numPr>
          <w:ilvl w:val="0"/>
          <w:numId w:val="2"/>
        </w:numPr>
        <w:spacing w:after="100"/>
      </w:pPr>
      <w:r>
        <w:rPr>
          <w:color w:val="404040"/>
        </w:rPr>
        <w:t xml:space="preserve">Threshold-based Indicators pollute the </w:t>
      </w:r>
      <w:proofErr w:type="gramStart"/>
      <w:r>
        <w:rPr>
          <w:color w:val="404040"/>
        </w:rPr>
        <w:t>Indicators</w:t>
      </w:r>
      <w:proofErr w:type="gramEnd"/>
      <w:r>
        <w:rPr>
          <w:color w:val="404040"/>
        </w:rPr>
        <w:t xml:space="preserve"> panel with objects that do not represent analyst-validated detection logic.</w:t>
      </w:r>
    </w:p>
    <w:p w14:paraId="408548B1" w14:textId="77777777" w:rsidR="0009283E" w:rsidRDefault="004D39CB">
      <w:pPr>
        <w:pStyle w:val="Heading3"/>
      </w:pPr>
      <w:r>
        <w:t>YARA Indicators</w:t>
      </w:r>
    </w:p>
    <w:p w14:paraId="408548B2" w14:textId="77777777" w:rsidR="0009283E" w:rsidRDefault="004D39CB">
      <w:pPr>
        <w:spacing w:after="160"/>
      </w:pPr>
      <w:r>
        <w:rPr>
          <w:color w:val="404040"/>
        </w:rPr>
        <w:t>YARA rules are retained as Indicators because they are genuine STIX Indicators: they carry a machine-readable pattern (</w:t>
      </w:r>
      <w:proofErr w:type="spellStart"/>
      <w:r>
        <w:rPr>
          <w:color w:val="404040"/>
        </w:rPr>
        <w:t>pattern_type</w:t>
      </w:r>
      <w:proofErr w:type="spellEnd"/>
      <w:r>
        <w:rPr>
          <w:color w:val="404040"/>
        </w:rPr>
        <w:t>=</w:t>
      </w:r>
      <w:proofErr w:type="spellStart"/>
      <w:r>
        <w:rPr>
          <w:color w:val="404040"/>
        </w:rPr>
        <w:t>yara</w:t>
      </w:r>
      <w:proofErr w:type="spellEnd"/>
      <w:r>
        <w:rPr>
          <w:color w:val="404040"/>
        </w:rPr>
        <w:t xml:space="preserve">), a </w:t>
      </w:r>
      <w:proofErr w:type="spellStart"/>
      <w:r>
        <w:rPr>
          <w:color w:val="404040"/>
        </w:rPr>
        <w:t>valid_from</w:t>
      </w:r>
      <w:proofErr w:type="spellEnd"/>
      <w:r>
        <w:rPr>
          <w:color w:val="404040"/>
        </w:rPr>
        <w:t xml:space="preserve"> timestamp derived from the file's creation date, and full ruleset metadata in the description. These are authored by named security researchers and represent validated detection logic — a meaningfully different class of object from a threshold-triggered IOC.</w:t>
      </w:r>
    </w:p>
    <w:p w14:paraId="408548B3" w14:textId="77777777" w:rsidR="0009283E" w:rsidRDefault="0009283E">
      <w:pPr>
        <w:spacing w:after="120"/>
      </w:pPr>
    </w:p>
    <w:p w14:paraId="408548B4" w14:textId="77777777" w:rsidR="0009283E" w:rsidRDefault="004D39CB">
      <w:pPr>
        <w:pStyle w:val="Heading2"/>
        <w:pBdr>
          <w:bottom w:val="single" w:sz="6" w:space="1" w:color="2E75B6"/>
        </w:pBdr>
      </w:pPr>
      <w:r>
        <w:t>7. Tag-to-Entity Conversion</w:t>
      </w:r>
    </w:p>
    <w:p w14:paraId="408548B5" w14:textId="77777777" w:rsidR="0009283E" w:rsidRDefault="004D39CB">
      <w:pPr>
        <w:spacing w:after="160"/>
      </w:pPr>
      <w:r>
        <w:rPr>
          <w:color w:val="404040"/>
        </w:rPr>
        <w:lastRenderedPageBreak/>
        <w:t>VT returns a tags array for file observables containing a mix of behavioral analysis labels, file format descriptors, platform tags, and occasionally specific malware family names or CVE identifiers. The upstream connector wrote these directly as string labels on the observable. The custom connector classifies each tag and converts it to an appropriate STIX entity or drops it.</w:t>
      </w:r>
    </w:p>
    <w:p w14:paraId="408548B6" w14:textId="77777777" w:rsidR="0009283E" w:rsidRDefault="004D39CB">
      <w:pPr>
        <w:pStyle w:val="Heading3"/>
      </w:pPr>
      <w:r>
        <w:t>Classification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09283E" w14:paraId="408548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8548B7" w14:textId="77777777" w:rsidR="0009283E" w:rsidRDefault="004D39CB">
            <w:r>
              <w:rPr>
                <w:b/>
                <w:bCs/>
                <w:color w:val="FFFFFF"/>
                <w:sz w:val="20"/>
                <w:szCs w:val="20"/>
              </w:rPr>
              <w:t>Tag Pattern</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8548B8" w14:textId="77777777" w:rsidR="0009283E" w:rsidRDefault="004D39CB">
            <w:r>
              <w:rPr>
                <w:b/>
                <w:bCs/>
                <w:color w:val="FFFFFF"/>
                <w:sz w:val="20"/>
                <w:szCs w:val="20"/>
              </w:rPr>
              <w:t>Action</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8548B9" w14:textId="77777777" w:rsidR="0009283E" w:rsidRDefault="004D39CB">
            <w:r>
              <w:rPr>
                <w:b/>
                <w:bCs/>
                <w:color w:val="FFFFFF"/>
                <w:sz w:val="20"/>
                <w:szCs w:val="20"/>
              </w:rPr>
              <w:t>Example</w:t>
            </w:r>
          </w:p>
        </w:tc>
      </w:tr>
      <w:tr w:rsidR="0009283E" w14:paraId="408548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8BB" w14:textId="77777777" w:rsidR="0009283E" w:rsidRDefault="004D39CB">
            <w:r>
              <w:rPr>
                <w:color w:val="404040"/>
                <w:sz w:val="20"/>
                <w:szCs w:val="20"/>
              </w:rPr>
              <w:t>CVE-YYYY-NNNNN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8BC" w14:textId="77777777" w:rsidR="0009283E" w:rsidRDefault="004D39CB">
            <w:r>
              <w:rPr>
                <w:color w:val="404040"/>
                <w:sz w:val="20"/>
                <w:szCs w:val="20"/>
              </w:rPr>
              <w:t>Create Vulnerability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8BD" w14:textId="77777777" w:rsidR="0009283E" w:rsidRDefault="004D39CB">
            <w:r>
              <w:rPr>
                <w:color w:val="404040"/>
                <w:sz w:val="20"/>
                <w:szCs w:val="20"/>
              </w:rPr>
              <w:t>CVE-2021-44228 → Vulnerability with NVD external ref</w:t>
            </w:r>
          </w:p>
        </w:tc>
      </w:tr>
      <w:tr w:rsidR="0009283E" w14:paraId="408548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8BF" w14:textId="77777777" w:rsidR="0009283E" w:rsidRDefault="004D39CB">
            <w:r>
              <w:rPr>
                <w:color w:val="404040"/>
                <w:sz w:val="20"/>
                <w:szCs w:val="20"/>
              </w:rPr>
              <w:t>TNNNN or TNNNN.NNN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8C0" w14:textId="77777777" w:rsidR="0009283E" w:rsidRDefault="004D39CB">
            <w:r>
              <w:rPr>
                <w:color w:val="404040"/>
                <w:sz w:val="20"/>
                <w:szCs w:val="20"/>
              </w:rPr>
              <w:t xml:space="preserve">Create </w:t>
            </w:r>
            <w:proofErr w:type="spellStart"/>
            <w:r>
              <w:rPr>
                <w:color w:val="404040"/>
                <w:sz w:val="20"/>
                <w:szCs w:val="20"/>
              </w:rPr>
              <w:t>AttackPattern</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8C1" w14:textId="77777777" w:rsidR="0009283E" w:rsidRDefault="004D39CB">
            <w:r>
              <w:rPr>
                <w:color w:val="404040"/>
                <w:sz w:val="20"/>
                <w:szCs w:val="20"/>
              </w:rPr>
              <w:t xml:space="preserve">T1059.003 → </w:t>
            </w:r>
            <w:proofErr w:type="spellStart"/>
            <w:r>
              <w:rPr>
                <w:color w:val="404040"/>
                <w:sz w:val="20"/>
                <w:szCs w:val="20"/>
              </w:rPr>
              <w:t>AttackPattern</w:t>
            </w:r>
            <w:proofErr w:type="spellEnd"/>
            <w:r>
              <w:rPr>
                <w:color w:val="404040"/>
                <w:sz w:val="20"/>
                <w:szCs w:val="20"/>
              </w:rPr>
              <w:t xml:space="preserve"> with MITRE external ref and URL</w:t>
            </w:r>
          </w:p>
        </w:tc>
      </w:tr>
      <w:tr w:rsidR="0009283E" w14:paraId="408548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8C3" w14:textId="77777777" w:rsidR="0009283E" w:rsidRDefault="004D39CB">
            <w:r>
              <w:rPr>
                <w:color w:val="404040"/>
                <w:sz w:val="20"/>
                <w:szCs w:val="20"/>
              </w:rPr>
              <w:t>Known generic / behavioral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8C4" w14:textId="77777777" w:rsidR="0009283E" w:rsidRDefault="004D39CB">
            <w:r>
              <w:rPr>
                <w:color w:val="404040"/>
                <w:sz w:val="20"/>
                <w:szCs w:val="20"/>
              </w:rPr>
              <w:t>Drop (note only)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8C5" w14:textId="77777777" w:rsidR="0009283E" w:rsidRDefault="004D39CB">
            <w:proofErr w:type="spellStart"/>
            <w:r>
              <w:rPr>
                <w:color w:val="404040"/>
                <w:sz w:val="20"/>
                <w:szCs w:val="20"/>
              </w:rPr>
              <w:t>pedll</w:t>
            </w:r>
            <w:proofErr w:type="spellEnd"/>
            <w:r>
              <w:rPr>
                <w:color w:val="404040"/>
                <w:sz w:val="20"/>
                <w:szCs w:val="20"/>
              </w:rPr>
              <w:t xml:space="preserve">, long-sleeps, detect-debug-environment, windows, </w:t>
            </w:r>
            <w:proofErr w:type="spellStart"/>
            <w:r>
              <w:rPr>
                <w:color w:val="404040"/>
                <w:sz w:val="20"/>
                <w:szCs w:val="20"/>
              </w:rPr>
              <w:t>peexe</w:t>
            </w:r>
            <w:proofErr w:type="spellEnd"/>
          </w:p>
        </w:tc>
      </w:tr>
      <w:tr w:rsidR="0009283E" w14:paraId="408548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8C7" w14:textId="77777777" w:rsidR="0009283E" w:rsidRDefault="004D39CB">
            <w:r>
              <w:rPr>
                <w:color w:val="404040"/>
                <w:sz w:val="20"/>
                <w:szCs w:val="20"/>
              </w:rPr>
              <w:t>All other strings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8C8" w14:textId="77777777" w:rsidR="0009283E" w:rsidRDefault="004D39CB">
            <w:r>
              <w:rPr>
                <w:color w:val="404040"/>
                <w:sz w:val="20"/>
                <w:szCs w:val="20"/>
              </w:rPr>
              <w:t>Create Malware (family)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8C9" w14:textId="77777777" w:rsidR="0009283E" w:rsidRDefault="004D39CB">
            <w:proofErr w:type="spellStart"/>
            <w:r>
              <w:rPr>
                <w:color w:val="404040"/>
                <w:sz w:val="20"/>
                <w:szCs w:val="20"/>
              </w:rPr>
              <w:t>Emotet</w:t>
            </w:r>
            <w:proofErr w:type="spellEnd"/>
            <w:r>
              <w:rPr>
                <w:color w:val="404040"/>
                <w:sz w:val="20"/>
                <w:szCs w:val="20"/>
              </w:rPr>
              <w:t xml:space="preserve">, </w:t>
            </w:r>
            <w:proofErr w:type="spellStart"/>
            <w:r>
              <w:rPr>
                <w:color w:val="404040"/>
                <w:sz w:val="20"/>
                <w:szCs w:val="20"/>
              </w:rPr>
              <w:t>RedLine</w:t>
            </w:r>
            <w:proofErr w:type="spellEnd"/>
            <w:r>
              <w:rPr>
                <w:color w:val="404040"/>
                <w:sz w:val="20"/>
                <w:szCs w:val="20"/>
              </w:rPr>
              <w:t>, Cobalt Strike → Malware (</w:t>
            </w:r>
            <w:proofErr w:type="spellStart"/>
            <w:r>
              <w:rPr>
                <w:color w:val="404040"/>
                <w:sz w:val="20"/>
                <w:szCs w:val="20"/>
              </w:rPr>
              <w:t>is_family</w:t>
            </w:r>
            <w:proofErr w:type="spellEnd"/>
            <w:r>
              <w:rPr>
                <w:color w:val="404040"/>
                <w:sz w:val="20"/>
                <w:szCs w:val="20"/>
              </w:rPr>
              <w:t>=True)</w:t>
            </w:r>
          </w:p>
        </w:tc>
      </w:tr>
    </w:tbl>
    <w:p w14:paraId="408548CB" w14:textId="77777777" w:rsidR="0009283E" w:rsidRDefault="0009283E">
      <w:pPr>
        <w:spacing w:after="120"/>
      </w:pPr>
    </w:p>
    <w:p w14:paraId="408548CC" w14:textId="77777777" w:rsidR="0009283E" w:rsidRDefault="004D39CB">
      <w:pPr>
        <w:spacing w:after="160"/>
      </w:pPr>
      <w:r>
        <w:rPr>
          <w:color w:val="404040"/>
        </w:rPr>
        <w:t xml:space="preserve">Generic tags and behavioral analysis tags are dropped as entities. Their text is preserved verbatim in the assessment </w:t>
      </w:r>
      <w:proofErr w:type="gramStart"/>
      <w:r>
        <w:rPr>
          <w:color w:val="404040"/>
        </w:rPr>
        <w:t>note</w:t>
      </w:r>
      <w:proofErr w:type="gramEnd"/>
      <w:r>
        <w:rPr>
          <w:color w:val="404040"/>
        </w:rPr>
        <w:t xml:space="preserve"> so analysts retain the full VT tag context. The generic </w:t>
      </w:r>
      <w:proofErr w:type="gramStart"/>
      <w:r>
        <w:rPr>
          <w:color w:val="404040"/>
        </w:rPr>
        <w:t>tags</w:t>
      </w:r>
      <w:proofErr w:type="gramEnd"/>
      <w:r>
        <w:rPr>
          <w:color w:val="404040"/>
        </w:rPr>
        <w:t xml:space="preserve"> blocklist covers VT's known behavioral vocabulary including anti-analysis techniques, file format descriptors, platform identifiers, and generic malware class nouns.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83E" w14:paraId="408548CE" w14:textId="77777777">
        <w:tblPrEx>
          <w:tblCellMar>
            <w:top w:w="0" w:type="dxa"/>
            <w:bottom w:w="0" w:type="dxa"/>
          </w:tblCellMar>
        </w:tblPrEx>
        <w:tc>
          <w:tcPr>
            <w:tcW w:w="9360" w:type="dxa"/>
            <w:tcBorders>
              <w:top w:val="none" w:sz="0" w:space="0" w:color="FFFFFF"/>
              <w:left w:val="single" w:sz="12" w:space="0" w:color="C55A11"/>
              <w:bottom w:val="none" w:sz="0" w:space="0" w:color="FFFFFF"/>
              <w:right w:val="none" w:sz="0" w:space="0" w:color="FFFFFF"/>
            </w:tcBorders>
            <w:shd w:val="clear" w:color="auto" w:fill="F2F2F2"/>
            <w:tcMar>
              <w:top w:w="100" w:type="dxa"/>
              <w:left w:w="160" w:type="dxa"/>
              <w:bottom w:w="100" w:type="dxa"/>
              <w:right w:w="160" w:type="dxa"/>
            </w:tcMar>
          </w:tcPr>
          <w:p w14:paraId="408548CD" w14:textId="77777777" w:rsidR="0009283E" w:rsidRDefault="004D39CB">
            <w:pPr>
              <w:spacing w:after="60"/>
            </w:pPr>
            <w:r>
              <w:rPr>
                <w:b/>
                <w:bCs/>
                <w:color w:val="C55A11"/>
                <w:sz w:val="20"/>
                <w:szCs w:val="20"/>
              </w:rPr>
              <w:t xml:space="preserve">Design Decision: </w:t>
            </w:r>
            <w:r>
              <w:rPr>
                <w:color w:val="404040"/>
                <w:sz w:val="20"/>
                <w:szCs w:val="20"/>
              </w:rPr>
              <w:t>Generic malware class nouns (trojan, ransomware, worm) are dropped rather than creating Malware entities. A Malware entity named 'Trojan' is not analytically meaningful — it describes what the file is, not what specific threat family it belongs to. Only specific named families with investigative value are created as Malware entities.</w:t>
            </w:r>
          </w:p>
        </w:tc>
      </w:tr>
    </w:tbl>
    <w:p w14:paraId="408548CF" w14:textId="77777777" w:rsidR="0009283E" w:rsidRDefault="0009283E">
      <w:pPr>
        <w:spacing w:after="120"/>
      </w:pPr>
    </w:p>
    <w:p w14:paraId="408548D0" w14:textId="77777777" w:rsidR="0009283E" w:rsidRDefault="004D39CB">
      <w:pPr>
        <w:pStyle w:val="Heading2"/>
        <w:pBdr>
          <w:bottom w:val="single" w:sz="6" w:space="1" w:color="2E75B6"/>
        </w:pBdr>
      </w:pPr>
      <w:r>
        <w:t>8. Assessment Notes</w:t>
      </w:r>
    </w:p>
    <w:p w14:paraId="408548D1" w14:textId="77777777" w:rsidR="0009283E" w:rsidRDefault="004D39CB">
      <w:pPr>
        <w:spacing w:after="160"/>
      </w:pPr>
      <w:r>
        <w:rPr>
          <w:color w:val="404040"/>
        </w:rPr>
        <w:t xml:space="preserve">Every enrichment job — whether VT returns data or not — produces a structured assessment note linked directly to the enriched observable. Notes are created with </w:t>
      </w:r>
      <w:proofErr w:type="spellStart"/>
      <w:r>
        <w:rPr>
          <w:color w:val="404040"/>
        </w:rPr>
        <w:t>note_types</w:t>
      </w:r>
      <w:proofErr w:type="spellEnd"/>
      <w:r>
        <w:rPr>
          <w:color w:val="404040"/>
        </w:rPr>
        <w:t>=[assessment] and are scoped to the originating RFI container.</w:t>
      </w:r>
    </w:p>
    <w:p w14:paraId="408548D2" w14:textId="77777777" w:rsidR="0009283E" w:rsidRDefault="004D39CB">
      <w:pPr>
        <w:pStyle w:val="Heading3"/>
      </w:pPr>
      <w:r>
        <w:t>Note Content</w:t>
      </w:r>
    </w:p>
    <w:p w14:paraId="408548D3" w14:textId="77777777" w:rsidR="0009283E" w:rsidRDefault="004D39CB">
      <w:pPr>
        <w:spacing w:after="160"/>
      </w:pPr>
      <w:r>
        <w:rPr>
          <w:color w:val="404040"/>
        </w:rPr>
        <w:t>All notes include an Observable Summary header block containing the full entity context from OpenCTI: hashes (for files), file name and additional names, size, MIME type, magic number, original author, and ingestion date. This makes each note self-contained — an analyst reading it does not need to navigate to the entity page to understand what was enriched.</w:t>
      </w:r>
    </w:p>
    <w:p w14:paraId="408548D4" w14:textId="77777777" w:rsidR="0009283E" w:rsidRDefault="004D39CB">
      <w:pPr>
        <w:pStyle w:val="Heading3"/>
      </w:pPr>
      <w:r>
        <w:t>Not-Found Handling</w:t>
      </w:r>
    </w:p>
    <w:p w14:paraId="408548D5" w14:textId="77777777" w:rsidR="0009283E" w:rsidRDefault="004D39CB">
      <w:pPr>
        <w:spacing w:after="160"/>
      </w:pPr>
      <w:r>
        <w:rPr>
          <w:color w:val="404040"/>
        </w:rPr>
        <w:t xml:space="preserve">When VT returns a 404 </w:t>
      </w:r>
      <w:proofErr w:type="spellStart"/>
      <w:r>
        <w:rPr>
          <w:color w:val="404040"/>
        </w:rPr>
        <w:t>NotFoundError</w:t>
      </w:r>
      <w:proofErr w:type="spellEnd"/>
      <w:r>
        <w:rPr>
          <w:color w:val="404040"/>
        </w:rPr>
        <w:t>, the connector creates a '</w:t>
      </w:r>
      <w:proofErr w:type="spellStart"/>
      <w:r>
        <w:rPr>
          <w:color w:val="404040"/>
        </w:rPr>
        <w:t>VirusTotal</w:t>
      </w:r>
      <w:proofErr w:type="spellEnd"/>
      <w:r>
        <w:rPr>
          <w:color w:val="404040"/>
        </w:rPr>
        <w:t xml:space="preserve"> — No Record Found' assessment note rather than failing the job. This is treated as a valid analytical outcome. The note includes the observable summary, the timestamp of the lookup attempt, and analyst guidance on interpreting the absence of a VT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83E" w14:paraId="408548D7" w14:textId="77777777">
        <w:tblPrEx>
          <w:tblCellMar>
            <w:top w:w="0" w:type="dxa"/>
            <w:bottom w:w="0" w:type="dxa"/>
          </w:tblCellMar>
        </w:tblPrEx>
        <w:tc>
          <w:tcPr>
            <w:tcW w:w="9360" w:type="dxa"/>
            <w:tcBorders>
              <w:top w:val="none" w:sz="0" w:space="0" w:color="FFFFFF"/>
              <w:left w:val="single" w:sz="12" w:space="0" w:color="C55A11"/>
              <w:bottom w:val="none" w:sz="0" w:space="0" w:color="FFFFFF"/>
              <w:right w:val="none" w:sz="0" w:space="0" w:color="FFFFFF"/>
            </w:tcBorders>
            <w:shd w:val="clear" w:color="auto" w:fill="F2F2F2"/>
            <w:tcMar>
              <w:top w:w="100" w:type="dxa"/>
              <w:left w:w="160" w:type="dxa"/>
              <w:bottom w:w="100" w:type="dxa"/>
              <w:right w:w="160" w:type="dxa"/>
            </w:tcMar>
          </w:tcPr>
          <w:p w14:paraId="408548D6" w14:textId="77777777" w:rsidR="0009283E" w:rsidRDefault="004D39CB">
            <w:pPr>
              <w:spacing w:after="60"/>
            </w:pPr>
            <w:r>
              <w:rPr>
                <w:b/>
                <w:bCs/>
                <w:color w:val="C55A11"/>
                <w:sz w:val="20"/>
                <w:szCs w:val="20"/>
              </w:rPr>
              <w:lastRenderedPageBreak/>
              <w:t xml:space="preserve">Design Decision: </w:t>
            </w:r>
            <w:r>
              <w:rPr>
                <w:color w:val="404040"/>
                <w:sz w:val="20"/>
                <w:szCs w:val="20"/>
              </w:rPr>
              <w:t xml:space="preserve">A VT 404 is intelligence — it tells an analyst that this observable has never been seen by VT's multi-engine platform. This is potentially significant for novel malware, targeted tooling, or </w:t>
            </w:r>
            <w:proofErr w:type="gramStart"/>
            <w:r>
              <w:rPr>
                <w:color w:val="404040"/>
                <w:sz w:val="20"/>
                <w:szCs w:val="20"/>
              </w:rPr>
              <w:t>internally-developed</w:t>
            </w:r>
            <w:proofErr w:type="gramEnd"/>
            <w:r>
              <w:rPr>
                <w:color w:val="404040"/>
                <w:sz w:val="20"/>
                <w:szCs w:val="20"/>
              </w:rPr>
              <w:t xml:space="preserve"> software. Silently failing the job or raising an error discards this signal. The not-found note surfaces it explicitly.</w:t>
            </w:r>
          </w:p>
        </w:tc>
      </w:tr>
    </w:tbl>
    <w:p w14:paraId="408548D8" w14:textId="77777777" w:rsidR="0009283E" w:rsidRDefault="0009283E">
      <w:pPr>
        <w:spacing w:after="120"/>
      </w:pPr>
    </w:p>
    <w:p w14:paraId="408548D9" w14:textId="77777777" w:rsidR="0009283E" w:rsidRDefault="004D39CB">
      <w:pPr>
        <w:pStyle w:val="Heading3"/>
      </w:pPr>
      <w:r>
        <w:t>Full Engine Report</w:t>
      </w:r>
    </w:p>
    <w:p w14:paraId="408548DA" w14:textId="77777777" w:rsidR="0009283E" w:rsidRDefault="004D39CB">
      <w:pPr>
        <w:spacing w:after="160"/>
      </w:pPr>
      <w:r>
        <w:rPr>
          <w:color w:val="404040"/>
        </w:rPr>
        <w:t>An optional supplemental note containing the complete per-engine scan table is created for file observables when VIRUSTOTAL_FILE_CREATE_NOTE_FULL_REPORT=true. This note is distinct from the assessment note and provides the raw VT scan breakdown for analysts who need engine-level detail.</w:t>
      </w:r>
    </w:p>
    <w:p w14:paraId="408548DB" w14:textId="77777777" w:rsidR="0009283E" w:rsidRDefault="0009283E">
      <w:pPr>
        <w:spacing w:after="120"/>
      </w:pPr>
    </w:p>
    <w:p w14:paraId="408548DC" w14:textId="77777777" w:rsidR="0009283E" w:rsidRDefault="004D39CB">
      <w:pPr>
        <w:pStyle w:val="Heading2"/>
        <w:pBdr>
          <w:bottom w:val="single" w:sz="6" w:space="1" w:color="2E75B6"/>
        </w:pBdr>
      </w:pPr>
      <w:r>
        <w:t>9. Relationship Construction</w:t>
      </w:r>
    </w:p>
    <w:p w14:paraId="408548DD" w14:textId="77777777" w:rsidR="0009283E" w:rsidRDefault="004D39CB">
      <w:pPr>
        <w:spacing w:after="160"/>
      </w:pPr>
      <w:r>
        <w:rPr>
          <w:color w:val="404040"/>
        </w:rPr>
        <w:t xml:space="preserve">All relationships created by the connector are fully populated </w:t>
      </w:r>
      <w:proofErr w:type="gramStart"/>
      <w:r>
        <w:rPr>
          <w:color w:val="404040"/>
        </w:rPr>
        <w:t>per</w:t>
      </w:r>
      <w:proofErr w:type="gramEnd"/>
      <w:r>
        <w:rPr>
          <w:color w:val="404040"/>
        </w:rPr>
        <w:t xml:space="preserve"> the data model. Every relationship carries:</w:t>
      </w:r>
    </w:p>
    <w:p w14:paraId="408548DE" w14:textId="77777777" w:rsidR="0009283E" w:rsidRDefault="004D39CB">
      <w:pPr>
        <w:pStyle w:val="ListParagraph"/>
        <w:numPr>
          <w:ilvl w:val="0"/>
          <w:numId w:val="2"/>
        </w:numPr>
        <w:spacing w:after="100"/>
      </w:pPr>
      <w:proofErr w:type="spellStart"/>
      <w:r>
        <w:rPr>
          <w:color w:val="404040"/>
        </w:rPr>
        <w:t>created_by_ref</w:t>
      </w:r>
      <w:proofErr w:type="spellEnd"/>
      <w:r>
        <w:rPr>
          <w:color w:val="404040"/>
        </w:rPr>
        <w:t xml:space="preserve"> — </w:t>
      </w:r>
      <w:proofErr w:type="spellStart"/>
      <w:r>
        <w:rPr>
          <w:color w:val="404040"/>
        </w:rPr>
        <w:t>VirusTotal</w:t>
      </w:r>
      <w:proofErr w:type="spellEnd"/>
      <w:r>
        <w:rPr>
          <w:color w:val="404040"/>
        </w:rPr>
        <w:t xml:space="preserve"> Identity</w:t>
      </w:r>
    </w:p>
    <w:p w14:paraId="408548DF" w14:textId="77777777" w:rsidR="0009283E" w:rsidRDefault="004D39CB">
      <w:pPr>
        <w:pStyle w:val="ListParagraph"/>
        <w:numPr>
          <w:ilvl w:val="0"/>
          <w:numId w:val="2"/>
        </w:numPr>
        <w:spacing w:after="100"/>
      </w:pPr>
      <w:proofErr w:type="spellStart"/>
      <w:r>
        <w:rPr>
          <w:color w:val="404040"/>
        </w:rPr>
        <w:t>object_marking_refs</w:t>
      </w:r>
      <w:proofErr w:type="spellEnd"/>
      <w:r>
        <w:rPr>
          <w:color w:val="404040"/>
        </w:rPr>
        <w:t xml:space="preserve"> — TLP:GREEN</w:t>
      </w:r>
    </w:p>
    <w:p w14:paraId="408548E0" w14:textId="77777777" w:rsidR="0009283E" w:rsidRDefault="004D39CB">
      <w:pPr>
        <w:pStyle w:val="ListParagraph"/>
        <w:numPr>
          <w:ilvl w:val="0"/>
          <w:numId w:val="2"/>
        </w:numPr>
        <w:spacing w:after="100"/>
      </w:pPr>
      <w:r>
        <w:rPr>
          <w:color w:val="404040"/>
        </w:rPr>
        <w:t>description — semantic summary of the relationship including the VT permalink, making the relationship self-describing without requiring a separate note</w:t>
      </w:r>
    </w:p>
    <w:p w14:paraId="408548E1" w14:textId="77777777" w:rsidR="0009283E" w:rsidRDefault="004D39CB">
      <w:pPr>
        <w:pStyle w:val="ListParagraph"/>
        <w:numPr>
          <w:ilvl w:val="0"/>
          <w:numId w:val="2"/>
        </w:numPr>
        <w:spacing w:after="100"/>
      </w:pPr>
      <w:proofErr w:type="spellStart"/>
      <w:r>
        <w:rPr>
          <w:color w:val="404040"/>
        </w:rPr>
        <w:t>external_references</w:t>
      </w:r>
      <w:proofErr w:type="spellEnd"/>
      <w:r>
        <w:rPr>
          <w:color w:val="404040"/>
        </w:rPr>
        <w:t xml:space="preserve"> — the VT GUI permalink for the enriched observable</w:t>
      </w:r>
    </w:p>
    <w:p w14:paraId="408548E2" w14:textId="77777777" w:rsidR="0009283E" w:rsidRDefault="004D39CB">
      <w:pPr>
        <w:pStyle w:val="ListParagraph"/>
        <w:numPr>
          <w:ilvl w:val="0"/>
          <w:numId w:val="2"/>
        </w:numPr>
        <w:spacing w:after="100"/>
      </w:pPr>
      <w:proofErr w:type="spellStart"/>
      <w:r>
        <w:rPr>
          <w:color w:val="404040"/>
        </w:rPr>
        <w:t>start_time</w:t>
      </w:r>
      <w:proofErr w:type="spellEnd"/>
      <w:r>
        <w:rPr>
          <w:color w:val="404040"/>
        </w:rPr>
        <w:t xml:space="preserve"> / </w:t>
      </w:r>
      <w:proofErr w:type="spellStart"/>
      <w:r>
        <w:rPr>
          <w:color w:val="404040"/>
        </w:rPr>
        <w:t>stop_time</w:t>
      </w:r>
      <w:proofErr w:type="spellEnd"/>
      <w:r>
        <w:rPr>
          <w:color w:val="404040"/>
        </w:rPr>
        <w:t xml:space="preserve"> — populated where VT provides temporal data (e.g. </w:t>
      </w:r>
      <w:proofErr w:type="spellStart"/>
      <w:r>
        <w:rPr>
          <w:color w:val="404040"/>
        </w:rPr>
        <w:t>last_analysis_date</w:t>
      </w:r>
      <w:proofErr w:type="spellEnd"/>
      <w:r>
        <w:rPr>
          <w:color w:val="404040"/>
        </w:rPr>
        <w:t xml:space="preserve"> for passive DNS resolutions)</w:t>
      </w:r>
    </w:p>
    <w:p w14:paraId="408548E3" w14:textId="77777777" w:rsidR="0009283E" w:rsidRDefault="000928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83E" w14:paraId="408548E5" w14:textId="77777777">
        <w:tblPrEx>
          <w:tblCellMar>
            <w:top w:w="0" w:type="dxa"/>
            <w:bottom w:w="0" w:type="dxa"/>
          </w:tblCellMar>
        </w:tblPrEx>
        <w:tc>
          <w:tcPr>
            <w:tcW w:w="9360" w:type="dxa"/>
            <w:tcBorders>
              <w:top w:val="none" w:sz="0" w:space="0" w:color="FFFFFF"/>
              <w:left w:val="single" w:sz="12" w:space="0" w:color="C55A11"/>
              <w:bottom w:val="none" w:sz="0" w:space="0" w:color="FFFFFF"/>
              <w:right w:val="none" w:sz="0" w:space="0" w:color="FFFFFF"/>
            </w:tcBorders>
            <w:shd w:val="clear" w:color="auto" w:fill="F2F2F2"/>
            <w:tcMar>
              <w:top w:w="100" w:type="dxa"/>
              <w:left w:w="160" w:type="dxa"/>
              <w:bottom w:w="100" w:type="dxa"/>
              <w:right w:w="160" w:type="dxa"/>
            </w:tcMar>
          </w:tcPr>
          <w:p w14:paraId="408548E4" w14:textId="77777777" w:rsidR="0009283E" w:rsidRDefault="004D39CB">
            <w:pPr>
              <w:spacing w:after="60"/>
            </w:pPr>
            <w:r>
              <w:rPr>
                <w:b/>
                <w:bCs/>
                <w:color w:val="C55A11"/>
                <w:sz w:val="20"/>
                <w:szCs w:val="20"/>
              </w:rPr>
              <w:t xml:space="preserve">Design Decision: </w:t>
            </w:r>
            <w:r>
              <w:rPr>
                <w:color w:val="404040"/>
                <w:sz w:val="20"/>
                <w:szCs w:val="20"/>
              </w:rPr>
              <w:t xml:space="preserve">The VT permalink is appended to all relationship descriptions rather than only being attached to the observable as an external reference. This ensures every edge in the graph carries its own provenance. An analyst traversing the graph to a derived entity (e.g. an </w:t>
            </w:r>
            <w:proofErr w:type="spellStart"/>
            <w:r>
              <w:rPr>
                <w:color w:val="404040"/>
                <w:sz w:val="20"/>
                <w:szCs w:val="20"/>
              </w:rPr>
              <w:t>AutonomousSystem</w:t>
            </w:r>
            <w:proofErr w:type="spellEnd"/>
            <w:r>
              <w:rPr>
                <w:color w:val="404040"/>
                <w:sz w:val="20"/>
                <w:szCs w:val="20"/>
              </w:rPr>
              <w:t>) can immediately see the source of the relationship without returning to the observable.</w:t>
            </w:r>
          </w:p>
        </w:tc>
      </w:tr>
    </w:tbl>
    <w:p w14:paraId="408548E6" w14:textId="77777777" w:rsidR="0009283E" w:rsidRDefault="0009283E">
      <w:pPr>
        <w:spacing w:after="120"/>
      </w:pPr>
    </w:p>
    <w:p w14:paraId="408548E7" w14:textId="77777777" w:rsidR="0009283E" w:rsidRDefault="004D39CB">
      <w:pPr>
        <w:pStyle w:val="Heading2"/>
        <w:pBdr>
          <w:bottom w:val="single" w:sz="6" w:space="1" w:color="2E75B6"/>
        </w:pBdr>
      </w:pPr>
      <w:r>
        <w:t>10. Derived Observable Construction</w:t>
      </w:r>
    </w:p>
    <w:p w14:paraId="408548E8" w14:textId="77777777" w:rsidR="0009283E" w:rsidRDefault="004D39CB">
      <w:pPr>
        <w:spacing w:after="160"/>
      </w:pPr>
      <w:r>
        <w:rPr>
          <w:color w:val="404040"/>
        </w:rPr>
        <w:t xml:space="preserve">Observables created during enrichment (passive DNS IPs for domains, </w:t>
      </w:r>
      <w:proofErr w:type="spellStart"/>
      <w:r>
        <w:rPr>
          <w:color w:val="404040"/>
        </w:rPr>
        <w:t>AutonomousSystem</w:t>
      </w:r>
      <w:proofErr w:type="spellEnd"/>
      <w:r>
        <w:rPr>
          <w:color w:val="404040"/>
        </w:rPr>
        <w:t xml:space="preserve"> for IPs, Location for IPs) are fully populated:</w:t>
      </w:r>
    </w:p>
    <w:p w14:paraId="408548E9" w14:textId="77777777" w:rsidR="0009283E" w:rsidRDefault="004D39CB">
      <w:pPr>
        <w:pStyle w:val="ListParagraph"/>
        <w:numPr>
          <w:ilvl w:val="0"/>
          <w:numId w:val="2"/>
        </w:numPr>
        <w:spacing w:after="100"/>
      </w:pPr>
      <w:proofErr w:type="spellStart"/>
      <w:r>
        <w:rPr>
          <w:color w:val="404040"/>
        </w:rPr>
        <w:t>x_opencti_description</w:t>
      </w:r>
      <w:proofErr w:type="spellEnd"/>
      <w:r>
        <w:rPr>
          <w:color w:val="404040"/>
        </w:rPr>
        <w:t xml:space="preserve"> — provenance string stating source and last-seen date</w:t>
      </w:r>
    </w:p>
    <w:p w14:paraId="408548EA" w14:textId="77777777" w:rsidR="0009283E" w:rsidRDefault="004D39CB">
      <w:pPr>
        <w:pStyle w:val="ListParagraph"/>
        <w:numPr>
          <w:ilvl w:val="0"/>
          <w:numId w:val="2"/>
        </w:numPr>
        <w:spacing w:after="100"/>
      </w:pPr>
      <w:proofErr w:type="spellStart"/>
      <w:r>
        <w:rPr>
          <w:color w:val="404040"/>
        </w:rPr>
        <w:t>created_by_ref</w:t>
      </w:r>
      <w:proofErr w:type="spellEnd"/>
      <w:r>
        <w:rPr>
          <w:color w:val="404040"/>
        </w:rPr>
        <w:t xml:space="preserve"> — </w:t>
      </w:r>
      <w:proofErr w:type="spellStart"/>
      <w:r>
        <w:rPr>
          <w:color w:val="404040"/>
        </w:rPr>
        <w:t>VirusTotal</w:t>
      </w:r>
      <w:proofErr w:type="spellEnd"/>
      <w:r>
        <w:rPr>
          <w:color w:val="404040"/>
        </w:rPr>
        <w:t xml:space="preserve"> Identity</w:t>
      </w:r>
    </w:p>
    <w:p w14:paraId="408548EB" w14:textId="77777777" w:rsidR="0009283E" w:rsidRDefault="004D39CB">
      <w:pPr>
        <w:pStyle w:val="ListParagraph"/>
        <w:numPr>
          <w:ilvl w:val="0"/>
          <w:numId w:val="2"/>
        </w:numPr>
        <w:spacing w:after="100"/>
      </w:pPr>
      <w:proofErr w:type="spellStart"/>
      <w:r>
        <w:rPr>
          <w:color w:val="404040"/>
        </w:rPr>
        <w:t>object_marking_refs</w:t>
      </w:r>
      <w:proofErr w:type="spellEnd"/>
      <w:r>
        <w:rPr>
          <w:color w:val="404040"/>
        </w:rPr>
        <w:t xml:space="preserve"> — TLP:GREEN</w:t>
      </w:r>
    </w:p>
    <w:p w14:paraId="408548EC" w14:textId="77777777" w:rsidR="0009283E" w:rsidRDefault="004D39CB">
      <w:pPr>
        <w:pStyle w:val="ListParagraph"/>
        <w:numPr>
          <w:ilvl w:val="0"/>
          <w:numId w:val="2"/>
        </w:numPr>
        <w:spacing w:after="100"/>
      </w:pPr>
      <w:proofErr w:type="spellStart"/>
      <w:r>
        <w:rPr>
          <w:color w:val="404040"/>
        </w:rPr>
        <w:t>x_opencti_score</w:t>
      </w:r>
      <w:proofErr w:type="spellEnd"/>
      <w:r>
        <w:rPr>
          <w:color w:val="404040"/>
        </w:rPr>
        <w:t xml:space="preserve"> — intentionally NOT written (dropped per data model decision)</w:t>
      </w:r>
    </w:p>
    <w:p w14:paraId="408548ED" w14:textId="77777777" w:rsidR="0009283E" w:rsidRDefault="000928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83E" w14:paraId="408548EF" w14:textId="77777777">
        <w:tblPrEx>
          <w:tblCellMar>
            <w:top w:w="0" w:type="dxa"/>
            <w:bottom w:w="0" w:type="dxa"/>
          </w:tblCellMar>
        </w:tblPrEx>
        <w:tc>
          <w:tcPr>
            <w:tcW w:w="9360" w:type="dxa"/>
            <w:tcBorders>
              <w:top w:val="none" w:sz="0" w:space="0" w:color="FFFFFF"/>
              <w:left w:val="single" w:sz="12" w:space="0" w:color="C55A11"/>
              <w:bottom w:val="none" w:sz="0" w:space="0" w:color="FFFFFF"/>
              <w:right w:val="none" w:sz="0" w:space="0" w:color="FFFFFF"/>
            </w:tcBorders>
            <w:shd w:val="clear" w:color="auto" w:fill="F2F2F2"/>
            <w:tcMar>
              <w:top w:w="100" w:type="dxa"/>
              <w:left w:w="160" w:type="dxa"/>
              <w:bottom w:w="100" w:type="dxa"/>
              <w:right w:w="160" w:type="dxa"/>
            </w:tcMar>
          </w:tcPr>
          <w:p w14:paraId="408548EE" w14:textId="77777777" w:rsidR="0009283E" w:rsidRDefault="004D39CB">
            <w:pPr>
              <w:spacing w:after="60"/>
            </w:pPr>
            <w:r>
              <w:rPr>
                <w:b/>
                <w:bCs/>
                <w:color w:val="C55A11"/>
                <w:sz w:val="20"/>
                <w:szCs w:val="20"/>
              </w:rPr>
              <w:lastRenderedPageBreak/>
              <w:t xml:space="preserve">Design Decision: </w:t>
            </w:r>
            <w:r>
              <w:rPr>
                <w:color w:val="404040"/>
                <w:sz w:val="20"/>
                <w:szCs w:val="20"/>
              </w:rPr>
              <w:t xml:space="preserve">The </w:t>
            </w:r>
            <w:proofErr w:type="spellStart"/>
            <w:r>
              <w:rPr>
                <w:color w:val="404040"/>
                <w:sz w:val="20"/>
                <w:szCs w:val="20"/>
              </w:rPr>
              <w:t>x_opencti_score</w:t>
            </w:r>
            <w:proofErr w:type="spellEnd"/>
            <w:r>
              <w:rPr>
                <w:color w:val="404040"/>
                <w:sz w:val="20"/>
                <w:szCs w:val="20"/>
              </w:rPr>
              <w:t xml:space="preserve"> field is not written to enriched or derived observables. VT's detection ratio is an input to analyst judgment, not an authoritative score. Writing a score from VT directly to the observable would overwrite analyst-assessed scores and introduce VT's automated scoring as a fact in the graph rather than as one data point among many. The score is surfaced in the assessment note content instead.</w:t>
            </w:r>
          </w:p>
        </w:tc>
      </w:tr>
    </w:tbl>
    <w:p w14:paraId="408548F0" w14:textId="77777777" w:rsidR="0009283E" w:rsidRDefault="0009283E">
      <w:pPr>
        <w:spacing w:after="120"/>
      </w:pPr>
    </w:p>
    <w:p w14:paraId="408548F1" w14:textId="77777777" w:rsidR="0009283E" w:rsidRDefault="004D39CB">
      <w:pPr>
        <w:pStyle w:val="Heading3"/>
      </w:pPr>
      <w:r>
        <w:t>Country Name Resolution</w:t>
      </w:r>
    </w:p>
    <w:p w14:paraId="408548F2" w14:textId="77777777" w:rsidR="0009283E" w:rsidRDefault="004D39CB">
      <w:pPr>
        <w:spacing w:after="160"/>
      </w:pPr>
      <w:r>
        <w:rPr>
          <w:color w:val="404040"/>
        </w:rPr>
        <w:t xml:space="preserve">VT returns country codes as ISO 3166-1 alpha-2 strings (e.g. BG, SE, NG). The connector resolves these to full country names using the </w:t>
      </w:r>
      <w:proofErr w:type="spellStart"/>
      <w:r>
        <w:rPr>
          <w:color w:val="404040"/>
        </w:rPr>
        <w:t>pycountry</w:t>
      </w:r>
      <w:proofErr w:type="spellEnd"/>
      <w:r>
        <w:rPr>
          <w:color w:val="404040"/>
        </w:rPr>
        <w:t xml:space="preserve"> library at enrichment time. The full name is stored as the Location entity name, the alpha-2 code is stored in the country field and as an alias (</w:t>
      </w:r>
      <w:proofErr w:type="spellStart"/>
      <w:r>
        <w:rPr>
          <w:color w:val="404040"/>
        </w:rPr>
        <w:t>x_opencti_aliases</w:t>
      </w:r>
      <w:proofErr w:type="spellEnd"/>
      <w:r>
        <w:rPr>
          <w:color w:val="404040"/>
        </w:rPr>
        <w:t>). This ensures Location entities deduplicate correctly against existing Country entities created by other connectors that use full names.</w:t>
      </w:r>
    </w:p>
    <w:p w14:paraId="408548F3" w14:textId="77777777" w:rsidR="0009283E" w:rsidRDefault="0009283E">
      <w:pPr>
        <w:spacing w:after="120"/>
      </w:pPr>
    </w:p>
    <w:p w14:paraId="408548F4" w14:textId="77777777" w:rsidR="0009283E" w:rsidRDefault="004D39CB">
      <w:pPr>
        <w:pStyle w:val="Heading2"/>
        <w:pBdr>
          <w:bottom w:val="single" w:sz="6" w:space="1" w:color="2E75B6"/>
        </w:pBdr>
      </w:pPr>
      <w:r>
        <w:t>11. Container Scoping</w:t>
      </w:r>
    </w:p>
    <w:p w14:paraId="408548F5" w14:textId="77777777" w:rsidR="0009283E" w:rsidRDefault="004D39CB">
      <w:pPr>
        <w:spacing w:after="160"/>
      </w:pPr>
      <w:r>
        <w:rPr>
          <w:color w:val="404040"/>
        </w:rPr>
        <w:t>All objects created during an enrichment job are added to the originating RFI container after bundle submission. This enforces the containment principle: no entity or observable should exist outside a container.</w:t>
      </w:r>
    </w:p>
    <w:p w14:paraId="408548F6" w14:textId="77777777" w:rsidR="0009283E" w:rsidRDefault="004D39CB">
      <w:pPr>
        <w:pStyle w:val="Heading3"/>
      </w:pPr>
      <w:r>
        <w:t>Timing and Retry Logic</w:t>
      </w:r>
    </w:p>
    <w:p w14:paraId="408548F7" w14:textId="77777777" w:rsidR="0009283E" w:rsidRDefault="004D39CB">
      <w:pPr>
        <w:spacing w:after="160"/>
      </w:pPr>
      <w:r>
        <w:rPr>
          <w:color w:val="404040"/>
        </w:rPr>
        <w:t>send_stix2_bundle() submits the STIX bundle to the RabbitMQ queue and returns before workers have processed the objects. A scoping call made immediately after submission will fail because the objects do not yet exist in the database. The connector implements a retry loop with exponential backoff:</w:t>
      </w:r>
    </w:p>
    <w:p w14:paraId="408548F8" w14:textId="77777777" w:rsidR="0009283E" w:rsidRDefault="004D39CB">
      <w:pPr>
        <w:pStyle w:val="ListParagraph"/>
        <w:numPr>
          <w:ilvl w:val="0"/>
          <w:numId w:val="2"/>
        </w:numPr>
        <w:spacing w:after="100"/>
      </w:pPr>
      <w:r>
        <w:rPr>
          <w:color w:val="404040"/>
        </w:rPr>
        <w:t>Maximum 5 attempts per object</w:t>
      </w:r>
    </w:p>
    <w:p w14:paraId="408548F9" w14:textId="77777777" w:rsidR="0009283E" w:rsidRDefault="004D39CB">
      <w:pPr>
        <w:pStyle w:val="ListParagraph"/>
        <w:numPr>
          <w:ilvl w:val="0"/>
          <w:numId w:val="2"/>
        </w:numPr>
        <w:spacing w:after="100"/>
      </w:pPr>
      <w:r>
        <w:rPr>
          <w:color w:val="404040"/>
        </w:rPr>
        <w:t>Initial delay: 2 seconds, doubling on each retry (2s, 4s, 8s, 16s)</w:t>
      </w:r>
    </w:p>
    <w:p w14:paraId="408548FA" w14:textId="77777777" w:rsidR="0009283E" w:rsidRDefault="004D39CB">
      <w:pPr>
        <w:pStyle w:val="ListParagraph"/>
        <w:numPr>
          <w:ilvl w:val="0"/>
          <w:numId w:val="2"/>
        </w:numPr>
        <w:spacing w:after="100"/>
      </w:pPr>
      <w:r>
        <w:rPr>
          <w:color w:val="404040"/>
        </w:rPr>
        <w:t>Retry triggered only on '</w:t>
      </w:r>
      <w:proofErr w:type="spellStart"/>
      <w:r>
        <w:rPr>
          <w:color w:val="404040"/>
        </w:rPr>
        <w:t>internal_id</w:t>
      </w:r>
      <w:proofErr w:type="spellEnd"/>
      <w:r>
        <w:rPr>
          <w:color w:val="404040"/>
        </w:rPr>
        <w:t xml:space="preserve"> undefined' errors — which specifically indicate the object has not yet been committed by workers</w:t>
      </w:r>
    </w:p>
    <w:p w14:paraId="408548FB" w14:textId="77777777" w:rsidR="0009283E" w:rsidRDefault="004D39CB">
      <w:pPr>
        <w:pStyle w:val="ListParagraph"/>
        <w:numPr>
          <w:ilvl w:val="0"/>
          <w:numId w:val="2"/>
        </w:numPr>
        <w:spacing w:after="100"/>
      </w:pPr>
      <w:r>
        <w:rPr>
          <w:color w:val="404040"/>
        </w:rPr>
        <w:t>All other errors are logged as warnings and do not block the remaining objects</w:t>
      </w:r>
    </w:p>
    <w:p w14:paraId="408548FC" w14:textId="77777777" w:rsidR="0009283E" w:rsidRDefault="004D39CB">
      <w:pPr>
        <w:pStyle w:val="ListParagraph"/>
        <w:numPr>
          <w:ilvl w:val="0"/>
          <w:numId w:val="2"/>
        </w:numPr>
        <w:spacing w:after="100"/>
      </w:pPr>
      <w:r>
        <w:rPr>
          <w:color w:val="404040"/>
        </w:rPr>
        <w:t>Scoping failures are non-fatal — enrichment is not rolled back if scoping fails</w:t>
      </w:r>
    </w:p>
    <w:p w14:paraId="408548FD" w14:textId="77777777" w:rsidR="0009283E" w:rsidRDefault="0009283E">
      <w:pPr>
        <w:spacing w:after="120"/>
      </w:pPr>
    </w:p>
    <w:p w14:paraId="408548FE" w14:textId="77777777" w:rsidR="0009283E" w:rsidRDefault="004D39CB">
      <w:pPr>
        <w:pStyle w:val="Heading2"/>
        <w:pBdr>
          <w:bottom w:val="single" w:sz="6" w:space="1" w:color="2E75B6"/>
        </w:pBdr>
      </w:pPr>
      <w:r>
        <w:t>12. External References</w:t>
      </w:r>
    </w:p>
    <w:p w14:paraId="408548FF" w14:textId="77777777" w:rsidR="0009283E" w:rsidRDefault="004D39CB">
      <w:pPr>
        <w:spacing w:after="160"/>
      </w:pPr>
      <w:r>
        <w:rPr>
          <w:color w:val="404040"/>
        </w:rPr>
        <w:t>The VT GUI permalink for each enriched observable is extracted from the API response link and converted from the API URL format to the GUI format (e.g. /</w:t>
      </w:r>
      <w:proofErr w:type="spellStart"/>
      <w:r>
        <w:rPr>
          <w:color w:val="404040"/>
        </w:rPr>
        <w:t>api</w:t>
      </w:r>
      <w:proofErr w:type="spellEnd"/>
      <w:r>
        <w:rPr>
          <w:color w:val="404040"/>
        </w:rPr>
        <w:t>/v3/files/{hash} → /</w:t>
      </w:r>
      <w:proofErr w:type="spellStart"/>
      <w:r>
        <w:rPr>
          <w:color w:val="404040"/>
        </w:rPr>
        <w:t>gui</w:t>
      </w:r>
      <w:proofErr w:type="spellEnd"/>
      <w:r>
        <w:rPr>
          <w:color w:val="404040"/>
        </w:rPr>
        <w:t>/file/{hash}). This permalink is attached in three places:</w:t>
      </w:r>
    </w:p>
    <w:p w14:paraId="40854900" w14:textId="77777777" w:rsidR="0009283E" w:rsidRDefault="004D39CB">
      <w:pPr>
        <w:pStyle w:val="ListParagraph"/>
        <w:numPr>
          <w:ilvl w:val="0"/>
          <w:numId w:val="2"/>
        </w:numPr>
        <w:spacing w:after="100"/>
      </w:pPr>
      <w:r>
        <w:rPr>
          <w:color w:val="404040"/>
        </w:rPr>
        <w:t xml:space="preserve">On the enriched observable itself — via </w:t>
      </w:r>
      <w:proofErr w:type="spellStart"/>
      <w:r>
        <w:rPr>
          <w:color w:val="404040"/>
        </w:rPr>
        <w:t>x_opencti_external_references</w:t>
      </w:r>
      <w:proofErr w:type="spellEnd"/>
      <w:r>
        <w:rPr>
          <w:color w:val="404040"/>
        </w:rPr>
        <w:t xml:space="preserve"> in the OCTI SCO extension</w:t>
      </w:r>
    </w:p>
    <w:p w14:paraId="40854901" w14:textId="77777777" w:rsidR="0009283E" w:rsidRDefault="004D39CB">
      <w:pPr>
        <w:pStyle w:val="ListParagraph"/>
        <w:numPr>
          <w:ilvl w:val="0"/>
          <w:numId w:val="2"/>
        </w:numPr>
        <w:spacing w:after="100"/>
      </w:pPr>
      <w:r>
        <w:rPr>
          <w:color w:val="404040"/>
        </w:rPr>
        <w:t xml:space="preserve">On every relationship created during enrichment — as </w:t>
      </w:r>
      <w:proofErr w:type="spellStart"/>
      <w:r>
        <w:rPr>
          <w:color w:val="404040"/>
        </w:rPr>
        <w:t>external_references</w:t>
      </w:r>
      <w:proofErr w:type="spellEnd"/>
      <w:r>
        <w:rPr>
          <w:color w:val="404040"/>
        </w:rPr>
        <w:t xml:space="preserve"> and appended to the description</w:t>
      </w:r>
    </w:p>
    <w:p w14:paraId="40854902" w14:textId="77777777" w:rsidR="0009283E" w:rsidRDefault="004D39CB">
      <w:pPr>
        <w:pStyle w:val="ListParagraph"/>
        <w:numPr>
          <w:ilvl w:val="0"/>
          <w:numId w:val="2"/>
        </w:numPr>
        <w:spacing w:after="100"/>
      </w:pPr>
      <w:r>
        <w:rPr>
          <w:color w:val="404040"/>
        </w:rPr>
        <w:lastRenderedPageBreak/>
        <w:t>On all YARA Indicators created from the file — linking back to the file report that triggered the match</w:t>
      </w:r>
    </w:p>
    <w:p w14:paraId="40854903" w14:textId="77777777" w:rsidR="0009283E" w:rsidRDefault="0009283E">
      <w:pPr>
        <w:spacing w:after="120"/>
      </w:pPr>
    </w:p>
    <w:p w14:paraId="40854904" w14:textId="77777777" w:rsidR="0009283E" w:rsidRDefault="004D39CB">
      <w:pPr>
        <w:pStyle w:val="Heading2"/>
        <w:pBdr>
          <w:bottom w:val="single" w:sz="6" w:space="1" w:color="2E75B6"/>
        </w:pBdr>
      </w:pPr>
      <w:r>
        <w:t>13. Removed Upstream Behaviors</w:t>
      </w:r>
    </w:p>
    <w:p w14:paraId="40854905" w14:textId="77777777" w:rsidR="0009283E" w:rsidRDefault="004D39CB">
      <w:pPr>
        <w:spacing w:after="160"/>
      </w:pPr>
      <w:r>
        <w:rPr>
          <w:color w:val="404040"/>
        </w:rPr>
        <w:t xml:space="preserve">The following behaviors present in the upstream OpenCTI </w:t>
      </w:r>
      <w:proofErr w:type="spellStart"/>
      <w:r>
        <w:rPr>
          <w:color w:val="404040"/>
        </w:rPr>
        <w:t>VirusTotal</w:t>
      </w:r>
      <w:proofErr w:type="spellEnd"/>
      <w:r>
        <w:rPr>
          <w:color w:val="404040"/>
        </w:rPr>
        <w:t xml:space="preserve"> connector have been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9283E" w14:paraId="4085490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854906" w14:textId="77777777" w:rsidR="0009283E" w:rsidRDefault="004D39CB">
            <w:r>
              <w:rPr>
                <w:b/>
                <w:bCs/>
                <w:color w:val="FFFFFF"/>
                <w:sz w:val="20"/>
                <w:szCs w:val="20"/>
              </w:rPr>
              <w:t>Removed Behavior</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854907" w14:textId="77777777" w:rsidR="0009283E" w:rsidRDefault="004D39CB">
            <w:r>
              <w:rPr>
                <w:b/>
                <w:bCs/>
                <w:color w:val="FFFFFF"/>
                <w:sz w:val="20"/>
                <w:szCs w:val="20"/>
              </w:rPr>
              <w:t>Reason</w:t>
            </w:r>
          </w:p>
        </w:tc>
      </w:tr>
      <w:tr w:rsidR="0009283E" w14:paraId="4085490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909" w14:textId="77777777" w:rsidR="0009283E" w:rsidRDefault="004D39CB">
            <w:r>
              <w:rPr>
                <w:color w:val="404040"/>
                <w:sz w:val="20"/>
                <w:szCs w:val="20"/>
              </w:rPr>
              <w:t>Threshold-based Indicator creation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90A" w14:textId="77777777" w:rsidR="0009283E" w:rsidRDefault="004D39CB">
            <w:r>
              <w:rPr>
                <w:color w:val="404040"/>
                <w:sz w:val="20"/>
                <w:szCs w:val="20"/>
              </w:rPr>
              <w:t>Indicators are OpenCTI inference-engine output, not connector output. Bypasses the data model.</w:t>
            </w:r>
          </w:p>
        </w:tc>
      </w:tr>
      <w:tr w:rsidR="0009283E" w14:paraId="4085490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90C" w14:textId="77777777" w:rsidR="0009283E" w:rsidRDefault="004D39CB">
            <w:r>
              <w:rPr>
                <w:color w:val="404040"/>
                <w:sz w:val="20"/>
                <w:szCs w:val="20"/>
              </w:rPr>
              <w:t>String label attachment (</w:t>
            </w:r>
            <w:proofErr w:type="spellStart"/>
            <w:r>
              <w:rPr>
                <w:color w:val="404040"/>
                <w:sz w:val="20"/>
                <w:szCs w:val="20"/>
              </w:rPr>
              <w:t>update_labels</w:t>
            </w:r>
            <w:proofErr w:type="spellEnd"/>
            <w:r>
              <w:rPr>
                <w:color w:val="404040"/>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90D" w14:textId="77777777" w:rsidR="0009283E" w:rsidRDefault="004D39CB">
            <w:r>
              <w:rPr>
                <w:color w:val="404040"/>
                <w:sz w:val="20"/>
                <w:szCs w:val="20"/>
              </w:rPr>
              <w:t>Labels are not graph entities. VT tags are converted to typed STIX entities or dropped.</w:t>
            </w:r>
          </w:p>
        </w:tc>
      </w:tr>
      <w:tr w:rsidR="0009283E" w14:paraId="4085491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90F" w14:textId="77777777" w:rsidR="0009283E" w:rsidRDefault="004D39CB">
            <w:r>
              <w:rPr>
                <w:color w:val="404040"/>
                <w:sz w:val="20"/>
                <w:szCs w:val="20"/>
              </w:rPr>
              <w:t>Raw markdown table notes (</w:t>
            </w:r>
            <w:proofErr w:type="spellStart"/>
            <w:r>
              <w:rPr>
                <w:color w:val="404040"/>
                <w:sz w:val="20"/>
                <w:szCs w:val="20"/>
              </w:rPr>
              <w:t>create_notes</w:t>
            </w:r>
            <w:proofErr w:type="spellEnd"/>
            <w:r>
              <w:rPr>
                <w:color w:val="404040"/>
                <w:sz w:val="20"/>
                <w:szCs w:val="20"/>
              </w:rPr>
              <w: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910" w14:textId="77777777" w:rsidR="0009283E" w:rsidRDefault="004D39CB">
            <w:r>
              <w:rPr>
                <w:color w:val="404040"/>
                <w:sz w:val="20"/>
                <w:szCs w:val="20"/>
              </w:rPr>
              <w:t xml:space="preserve">Replaced with structured assessment notes carrying </w:t>
            </w:r>
            <w:proofErr w:type="spellStart"/>
            <w:r>
              <w:rPr>
                <w:color w:val="404040"/>
                <w:sz w:val="20"/>
                <w:szCs w:val="20"/>
              </w:rPr>
              <w:t>note_types</w:t>
            </w:r>
            <w:proofErr w:type="spellEnd"/>
            <w:r>
              <w:rPr>
                <w:color w:val="404040"/>
                <w:sz w:val="20"/>
                <w:szCs w:val="20"/>
              </w:rPr>
              <w:t>=[assessment] and full observable context.</w:t>
            </w:r>
          </w:p>
        </w:tc>
      </w:tr>
      <w:tr w:rsidR="0009283E" w14:paraId="4085491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912" w14:textId="77777777" w:rsidR="0009283E" w:rsidRDefault="004D39CB">
            <w:r>
              <w:rPr>
                <w:color w:val="404040"/>
                <w:sz w:val="20"/>
                <w:szCs w:val="20"/>
              </w:rPr>
              <w:t xml:space="preserve">Direct </w:t>
            </w:r>
            <w:proofErr w:type="spellStart"/>
            <w:r>
              <w:rPr>
                <w:color w:val="404040"/>
                <w:sz w:val="20"/>
                <w:szCs w:val="20"/>
              </w:rPr>
              <w:t>x_opencti_score</w:t>
            </w:r>
            <w:proofErr w:type="spellEnd"/>
            <w:r>
              <w:rPr>
                <w:color w:val="404040"/>
                <w:sz w:val="20"/>
                <w:szCs w:val="20"/>
              </w:rPr>
              <w:t xml:space="preserve"> writes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913" w14:textId="77777777" w:rsidR="0009283E" w:rsidRDefault="004D39CB">
            <w:r>
              <w:rPr>
                <w:color w:val="404040"/>
                <w:sz w:val="20"/>
                <w:szCs w:val="20"/>
              </w:rPr>
              <w:t>VT score is surfaced in assessment note content only. Does not overwrite analyst-assigned scores.</w:t>
            </w:r>
          </w:p>
        </w:tc>
      </w:tr>
      <w:tr w:rsidR="0009283E" w14:paraId="4085491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915" w14:textId="77777777" w:rsidR="0009283E" w:rsidRDefault="004D39CB">
            <w:r>
              <w:rPr>
                <w:color w:val="404040"/>
                <w:sz w:val="20"/>
                <w:szCs w:val="20"/>
              </w:rPr>
              <w:t>Transient bundle-only author Identity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916" w14:textId="77777777" w:rsidR="0009283E" w:rsidRDefault="004D39CB">
            <w:r>
              <w:rPr>
                <w:color w:val="404040"/>
                <w:sz w:val="20"/>
                <w:szCs w:val="20"/>
              </w:rPr>
              <w:t xml:space="preserve">VT Identity is now graph-registered at startup via </w:t>
            </w:r>
            <w:proofErr w:type="spellStart"/>
            <w:r>
              <w:rPr>
                <w:color w:val="404040"/>
                <w:sz w:val="20"/>
                <w:szCs w:val="20"/>
              </w:rPr>
              <w:t>identity.create</w:t>
            </w:r>
            <w:proofErr w:type="spellEnd"/>
            <w:r>
              <w:rPr>
                <w:color w:val="404040"/>
                <w:sz w:val="20"/>
                <w:szCs w:val="20"/>
              </w:rPr>
              <w:t>(update=True).</w:t>
            </w:r>
          </w:p>
        </w:tc>
      </w:tr>
      <w:tr w:rsidR="0009283E" w14:paraId="4085491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918" w14:textId="77777777" w:rsidR="0009283E" w:rsidRDefault="004D39CB">
            <w:r>
              <w:rPr>
                <w:color w:val="404040"/>
                <w:sz w:val="20"/>
                <w:szCs w:val="20"/>
              </w:rPr>
              <w:t>No TLP marking on created objects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919" w14:textId="77777777" w:rsidR="0009283E" w:rsidRDefault="004D39CB">
            <w:r>
              <w:rPr>
                <w:color w:val="404040"/>
                <w:sz w:val="20"/>
                <w:szCs w:val="20"/>
              </w:rPr>
              <w:t>TLP:GREEN marking ID is resolved at startup and applied to all emitted objects.</w:t>
            </w:r>
          </w:p>
        </w:tc>
      </w:tr>
      <w:tr w:rsidR="0009283E" w14:paraId="4085491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91B" w14:textId="77777777" w:rsidR="0009283E" w:rsidRDefault="004D39CB">
            <w:r>
              <w:rPr>
                <w:color w:val="404040"/>
                <w:sz w:val="20"/>
                <w:szCs w:val="20"/>
              </w:rPr>
              <w:t xml:space="preserve">Country </w:t>
            </w:r>
            <w:proofErr w:type="gramStart"/>
            <w:r>
              <w:rPr>
                <w:color w:val="404040"/>
                <w:sz w:val="20"/>
                <w:szCs w:val="20"/>
              </w:rPr>
              <w:t>alpha</w:t>
            </w:r>
            <w:proofErr w:type="gramEnd"/>
            <w:r>
              <w:rPr>
                <w:color w:val="404040"/>
                <w:sz w:val="20"/>
                <w:szCs w:val="20"/>
              </w:rPr>
              <w:t>-2 code as Location name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5491C" w14:textId="77777777" w:rsidR="0009283E" w:rsidRDefault="004D39CB">
            <w:proofErr w:type="spellStart"/>
            <w:r>
              <w:rPr>
                <w:color w:val="404040"/>
                <w:sz w:val="20"/>
                <w:szCs w:val="20"/>
              </w:rPr>
              <w:t>pycountry</w:t>
            </w:r>
            <w:proofErr w:type="spellEnd"/>
            <w:r>
              <w:rPr>
                <w:color w:val="404040"/>
                <w:sz w:val="20"/>
                <w:szCs w:val="20"/>
              </w:rPr>
              <w:t xml:space="preserve"> resolves alpha-2 to full name. Code stored as alias.</w:t>
            </w:r>
          </w:p>
        </w:tc>
      </w:tr>
    </w:tbl>
    <w:p w14:paraId="4085491E" w14:textId="77777777" w:rsidR="0009283E" w:rsidRDefault="0009283E">
      <w:pPr>
        <w:spacing w:after="120"/>
      </w:pPr>
    </w:p>
    <w:p w14:paraId="4085491F" w14:textId="77777777" w:rsidR="0009283E" w:rsidRDefault="004D39CB">
      <w:pPr>
        <w:pStyle w:val="Heading2"/>
        <w:pBdr>
          <w:bottom w:val="single" w:sz="6" w:space="1" w:color="2E75B6"/>
        </w:pBdr>
      </w:pPr>
      <w:r>
        <w:t>14. Configuration Reference</w:t>
      </w:r>
    </w:p>
    <w:p w14:paraId="40854920" w14:textId="77777777" w:rsidR="0009283E" w:rsidRDefault="004D39CB">
      <w:pPr>
        <w:spacing w:after="160"/>
      </w:pPr>
      <w:r>
        <w:rPr>
          <w:color w:val="404040"/>
        </w:rPr>
        <w:t>Configuration is managed via docker-</w:t>
      </w:r>
      <w:proofErr w:type="spellStart"/>
      <w:r>
        <w:rPr>
          <w:color w:val="404040"/>
        </w:rPr>
        <w:t>compose.override.yml</w:t>
      </w:r>
      <w:proofErr w:type="spellEnd"/>
      <w:r>
        <w:rPr>
          <w:color w:val="404040"/>
        </w:rPr>
        <w:t>. The following variables are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3"/>
        <w:gridCol w:w="1599"/>
        <w:gridCol w:w="3308"/>
      </w:tblGrid>
      <w:tr w:rsidR="0009283E" w14:paraId="4085492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854921" w14:textId="77777777" w:rsidR="0009283E" w:rsidRDefault="004D39CB">
            <w:r>
              <w:rPr>
                <w:b/>
                <w:bCs/>
                <w:color w:val="FFFFFF"/>
                <w:sz w:val="20"/>
                <w:szCs w:val="20"/>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854922" w14:textId="77777777" w:rsidR="0009283E" w:rsidRDefault="004D39CB">
            <w:r>
              <w:rPr>
                <w:b/>
                <w:bCs/>
                <w:color w:val="FFFFFF"/>
                <w:sz w:val="20"/>
                <w:szCs w:val="20"/>
              </w:rPr>
              <w:t>Value</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854923" w14:textId="77777777" w:rsidR="0009283E" w:rsidRDefault="004D39CB">
            <w:r>
              <w:rPr>
                <w:b/>
                <w:bCs/>
                <w:color w:val="FFFFFF"/>
                <w:sz w:val="20"/>
                <w:szCs w:val="20"/>
              </w:rPr>
              <w:t>Notes</w:t>
            </w:r>
          </w:p>
        </w:tc>
      </w:tr>
      <w:tr w:rsidR="0009283E" w14:paraId="4085492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925" w14:textId="77777777" w:rsidR="0009283E" w:rsidRDefault="004D39CB">
            <w:r>
              <w:rPr>
                <w:rFonts w:ascii="Courier New" w:eastAsia="Courier New" w:hAnsi="Courier New" w:cs="Courier New"/>
                <w:color w:val="404040"/>
                <w:sz w:val="18"/>
                <w:szCs w:val="18"/>
              </w:rPr>
              <w:t>CONNECTOR_AUTO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926" w14:textId="77777777" w:rsidR="0009283E" w:rsidRDefault="004D39CB">
            <w:r>
              <w:rPr>
                <w:rFonts w:ascii="Courier New" w:eastAsia="Courier New" w:hAnsi="Courier New" w:cs="Courier New"/>
                <w:color w:val="404040"/>
                <w:sz w:val="18"/>
                <w:szCs w:val="18"/>
              </w:rPr>
              <w:t>true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927" w14:textId="77777777" w:rsidR="0009283E" w:rsidRDefault="004D39CB">
            <w:r>
              <w:rPr>
                <w:color w:val="404040"/>
                <w:sz w:val="18"/>
                <w:szCs w:val="18"/>
              </w:rPr>
              <w:t xml:space="preserve">RFI gate enforces </w:t>
            </w:r>
            <w:proofErr w:type="gramStart"/>
            <w:r>
              <w:rPr>
                <w:color w:val="404040"/>
                <w:sz w:val="18"/>
                <w:szCs w:val="18"/>
              </w:rPr>
              <w:t>restriction</w:t>
            </w:r>
            <w:proofErr w:type="gramEnd"/>
            <w:r>
              <w:rPr>
                <w:color w:val="404040"/>
                <w:sz w:val="18"/>
                <w:szCs w:val="18"/>
              </w:rPr>
              <w:t xml:space="preserve"> at runtime</w:t>
            </w:r>
          </w:p>
        </w:tc>
      </w:tr>
      <w:tr w:rsidR="0009283E" w14:paraId="4085492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929" w14:textId="77777777" w:rsidR="0009283E" w:rsidRDefault="004D39CB">
            <w:r>
              <w:rPr>
                <w:rFonts w:ascii="Courier New" w:eastAsia="Courier New" w:hAnsi="Courier New" w:cs="Courier New"/>
                <w:color w:val="404040"/>
                <w:sz w:val="18"/>
                <w:szCs w:val="18"/>
              </w:rPr>
              <w:t>VIRUSTOTAL_MAX_TLP</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92A" w14:textId="77777777" w:rsidR="0009283E" w:rsidRDefault="004D39CB">
            <w:r>
              <w:rPr>
                <w:rFonts w:ascii="Courier New" w:eastAsia="Courier New" w:hAnsi="Courier New" w:cs="Courier New"/>
                <w:color w:val="404040"/>
                <w:sz w:val="18"/>
                <w:szCs w:val="18"/>
              </w:rPr>
              <w:t>TLP:RED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92B" w14:textId="77777777" w:rsidR="0009283E" w:rsidRDefault="004D39CB">
            <w:r>
              <w:rPr>
                <w:color w:val="404040"/>
                <w:sz w:val="18"/>
                <w:szCs w:val="18"/>
              </w:rPr>
              <w:t>No observable TLP ceiling — full analyst set supported</w:t>
            </w:r>
          </w:p>
        </w:tc>
      </w:tr>
      <w:tr w:rsidR="0009283E" w14:paraId="4085493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92D" w14:textId="77777777" w:rsidR="0009283E" w:rsidRDefault="004D39CB">
            <w:r>
              <w:rPr>
                <w:rFonts w:ascii="Courier New" w:eastAsia="Courier New" w:hAnsi="Courier New" w:cs="Courier New"/>
                <w:color w:val="404040"/>
                <w:sz w:val="18"/>
                <w:szCs w:val="18"/>
              </w:rPr>
              <w:t>VIRUSTOTAL_REPLACE_WITH_LOWER_SCORE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92E" w14:textId="77777777" w:rsidR="0009283E" w:rsidRDefault="004D39CB">
            <w:r>
              <w:rPr>
                <w:rFonts w:ascii="Courier New" w:eastAsia="Courier New" w:hAnsi="Courier New" w:cs="Courier New"/>
                <w:color w:val="404040"/>
                <w:sz w:val="18"/>
                <w:szCs w:val="18"/>
              </w:rPr>
              <w:t>false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92F" w14:textId="77777777" w:rsidR="0009283E" w:rsidRDefault="004D39CB">
            <w:r>
              <w:rPr>
                <w:color w:val="404040"/>
                <w:sz w:val="18"/>
                <w:szCs w:val="18"/>
              </w:rPr>
              <w:t>Preserve existing score if higher than VT score</w:t>
            </w:r>
          </w:p>
        </w:tc>
      </w:tr>
      <w:tr w:rsidR="0009283E" w14:paraId="4085493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931" w14:textId="77777777" w:rsidR="0009283E" w:rsidRDefault="004D39CB">
            <w:r>
              <w:rPr>
                <w:rFonts w:ascii="Courier New" w:eastAsia="Courier New" w:hAnsi="Courier New" w:cs="Courier New"/>
                <w:color w:val="404040"/>
                <w:sz w:val="18"/>
                <w:szCs w:val="18"/>
              </w:rPr>
              <w:t>VIRUSTOTAL_FILE_CREATE_NOTE_FULL_REPORT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932" w14:textId="77777777" w:rsidR="0009283E" w:rsidRDefault="004D39CB">
            <w:r>
              <w:rPr>
                <w:rFonts w:ascii="Courier New" w:eastAsia="Courier New" w:hAnsi="Courier New" w:cs="Courier New"/>
                <w:color w:val="404040"/>
                <w:sz w:val="18"/>
                <w:szCs w:val="18"/>
              </w:rPr>
              <w:t>true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933" w14:textId="77777777" w:rsidR="0009283E" w:rsidRDefault="004D39CB">
            <w:r>
              <w:rPr>
                <w:color w:val="404040"/>
                <w:sz w:val="18"/>
                <w:szCs w:val="18"/>
              </w:rPr>
              <w:t>Create supplemental per-engine scan table note</w:t>
            </w:r>
          </w:p>
        </w:tc>
      </w:tr>
      <w:tr w:rsidR="0009283E" w14:paraId="4085493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935" w14:textId="77777777" w:rsidR="0009283E" w:rsidRDefault="004D39CB">
            <w:r>
              <w:rPr>
                <w:rFonts w:ascii="Courier New" w:eastAsia="Courier New" w:hAnsi="Courier New" w:cs="Courier New"/>
                <w:color w:val="404040"/>
                <w:sz w:val="18"/>
                <w:szCs w:val="18"/>
              </w:rPr>
              <w:t>VIRUSTOTAL_FILE_IMPORT_YARA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936" w14:textId="77777777" w:rsidR="0009283E" w:rsidRDefault="004D39CB">
            <w:r>
              <w:rPr>
                <w:rFonts w:ascii="Courier New" w:eastAsia="Courier New" w:hAnsi="Courier New" w:cs="Courier New"/>
                <w:color w:val="404040"/>
                <w:sz w:val="18"/>
                <w:szCs w:val="18"/>
              </w:rPr>
              <w:t>true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937" w14:textId="77777777" w:rsidR="0009283E" w:rsidRDefault="004D39CB">
            <w:r>
              <w:rPr>
                <w:color w:val="404040"/>
                <w:sz w:val="18"/>
                <w:szCs w:val="18"/>
              </w:rPr>
              <w:t>Import crowdsourced YARA rules as Indicators</w:t>
            </w:r>
          </w:p>
        </w:tc>
      </w:tr>
      <w:tr w:rsidR="0009283E" w14:paraId="408549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939" w14:textId="77777777" w:rsidR="0009283E" w:rsidRDefault="004D39CB">
            <w:r>
              <w:rPr>
                <w:rFonts w:ascii="Courier New" w:eastAsia="Courier New" w:hAnsi="Courier New" w:cs="Courier New"/>
                <w:color w:val="404040"/>
                <w:sz w:val="18"/>
                <w:szCs w:val="18"/>
              </w:rPr>
              <w:t>VIRUSTOTAL_FILE_UPLOAD_UNSEEN_ARTIFACTS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93A" w14:textId="77777777" w:rsidR="0009283E" w:rsidRDefault="004D39CB">
            <w:r>
              <w:rPr>
                <w:rFonts w:ascii="Courier New" w:eastAsia="Courier New" w:hAnsi="Courier New" w:cs="Courier New"/>
                <w:color w:val="404040"/>
                <w:sz w:val="18"/>
                <w:szCs w:val="18"/>
              </w:rPr>
              <w:t>false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93B" w14:textId="77777777" w:rsidR="0009283E" w:rsidRDefault="004D39CB">
            <w:r>
              <w:rPr>
                <w:color w:val="404040"/>
                <w:sz w:val="18"/>
                <w:szCs w:val="18"/>
              </w:rPr>
              <w:t>Do not upload unknown files to VT automatically</w:t>
            </w:r>
          </w:p>
        </w:tc>
      </w:tr>
      <w:tr w:rsidR="0009283E" w14:paraId="408549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93D" w14:textId="77777777" w:rsidR="0009283E" w:rsidRDefault="004D39CB">
            <w:r>
              <w:rPr>
                <w:rFonts w:ascii="Courier New" w:eastAsia="Courier New" w:hAnsi="Courier New" w:cs="Courier New"/>
                <w:color w:val="404040"/>
                <w:sz w:val="18"/>
                <w:szCs w:val="18"/>
              </w:rPr>
              <w:lastRenderedPageBreak/>
              <w:t>VIRUSTOTAL_IP_ADD_RELATIONSHIPS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93E" w14:textId="77777777" w:rsidR="0009283E" w:rsidRDefault="004D39CB">
            <w:r>
              <w:rPr>
                <w:rFonts w:ascii="Courier New" w:eastAsia="Courier New" w:hAnsi="Courier New" w:cs="Courier New"/>
                <w:color w:val="404040"/>
                <w:sz w:val="18"/>
                <w:szCs w:val="18"/>
              </w:rPr>
              <w:t>true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93F" w14:textId="77777777" w:rsidR="0009283E" w:rsidRDefault="004D39CB">
            <w:r>
              <w:rPr>
                <w:color w:val="404040"/>
                <w:sz w:val="18"/>
                <w:szCs w:val="18"/>
              </w:rPr>
              <w:t>Create ASN and Country relationships for IPs</w:t>
            </w:r>
          </w:p>
        </w:tc>
      </w:tr>
      <w:tr w:rsidR="0009283E" w14:paraId="4085494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941" w14:textId="77777777" w:rsidR="0009283E" w:rsidRDefault="004D39CB">
            <w:r>
              <w:rPr>
                <w:rFonts w:ascii="Courier New" w:eastAsia="Courier New" w:hAnsi="Courier New" w:cs="Courier New"/>
                <w:color w:val="404040"/>
                <w:sz w:val="18"/>
                <w:szCs w:val="18"/>
              </w:rPr>
              <w:t>VIRUSTOTAL_DOMAIN_ADD_RELATIONSHIPS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942" w14:textId="77777777" w:rsidR="0009283E" w:rsidRDefault="004D39CB">
            <w:r>
              <w:rPr>
                <w:rFonts w:ascii="Courier New" w:eastAsia="Courier New" w:hAnsi="Courier New" w:cs="Courier New"/>
                <w:color w:val="404040"/>
                <w:sz w:val="18"/>
                <w:szCs w:val="18"/>
              </w:rPr>
              <w:t>true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4943" w14:textId="77777777" w:rsidR="0009283E" w:rsidRDefault="004D39CB">
            <w:r>
              <w:rPr>
                <w:color w:val="404040"/>
                <w:sz w:val="18"/>
                <w:szCs w:val="18"/>
              </w:rPr>
              <w:t>Create passive-DNS IPv4 observables for domains</w:t>
            </w:r>
          </w:p>
        </w:tc>
      </w:tr>
      <w:tr w:rsidR="0009283E" w14:paraId="4085494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945" w14:textId="77777777" w:rsidR="0009283E" w:rsidRDefault="004D39CB">
            <w:r>
              <w:rPr>
                <w:rFonts w:ascii="Courier New" w:eastAsia="Courier New" w:hAnsi="Courier New" w:cs="Courier New"/>
                <w:color w:val="404040"/>
                <w:sz w:val="18"/>
                <w:szCs w:val="18"/>
              </w:rPr>
              <w:t>VIRUSTOTAL_URL_UPLOAD_UNSEEN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946" w14:textId="77777777" w:rsidR="0009283E" w:rsidRDefault="004D39CB">
            <w:r>
              <w:rPr>
                <w:rFonts w:ascii="Courier New" w:eastAsia="Courier New" w:hAnsi="Courier New" w:cs="Courier New"/>
                <w:color w:val="404040"/>
                <w:sz w:val="18"/>
                <w:szCs w:val="18"/>
              </w:rPr>
              <w:t>false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54947" w14:textId="77777777" w:rsidR="0009283E" w:rsidRDefault="004D39CB">
            <w:r>
              <w:rPr>
                <w:color w:val="404040"/>
                <w:sz w:val="18"/>
                <w:szCs w:val="18"/>
              </w:rPr>
              <w:t>Do not submit unknown URLs to VT automatically</w:t>
            </w:r>
          </w:p>
        </w:tc>
      </w:tr>
    </w:tbl>
    <w:p w14:paraId="40854949" w14:textId="77777777" w:rsidR="0009283E" w:rsidRDefault="0009283E">
      <w:pPr>
        <w:spacing w:after="120"/>
      </w:pPr>
    </w:p>
    <w:p w14:paraId="4085494A" w14:textId="77777777" w:rsidR="0009283E" w:rsidRDefault="004D39CB">
      <w:pPr>
        <w:spacing w:after="160"/>
      </w:pPr>
      <w:r>
        <w:rPr>
          <w:color w:val="404040"/>
        </w:rPr>
        <w:t>The following upstream configuration variables have been removed as dead config:</w:t>
      </w:r>
    </w:p>
    <w:p w14:paraId="4085494B" w14:textId="77777777" w:rsidR="0009283E" w:rsidRDefault="004D39CB">
      <w:pPr>
        <w:pStyle w:val="ListParagraph"/>
        <w:numPr>
          <w:ilvl w:val="0"/>
          <w:numId w:val="2"/>
        </w:numPr>
        <w:spacing w:after="100"/>
      </w:pPr>
      <w:r>
        <w:rPr>
          <w:color w:val="404040"/>
        </w:rPr>
        <w:t>VIRUSTOTAL_*_INDICATOR_CREATE_POSITIVES</w:t>
      </w:r>
    </w:p>
    <w:p w14:paraId="4085494C" w14:textId="77777777" w:rsidR="0009283E" w:rsidRDefault="004D39CB">
      <w:pPr>
        <w:pStyle w:val="ListParagraph"/>
        <w:numPr>
          <w:ilvl w:val="0"/>
          <w:numId w:val="2"/>
        </w:numPr>
        <w:spacing w:after="100"/>
      </w:pPr>
      <w:r>
        <w:rPr>
          <w:color w:val="404040"/>
        </w:rPr>
        <w:t>VIRUSTOTAL_*_INDICATOR_VALID_MINUTES</w:t>
      </w:r>
    </w:p>
    <w:p w14:paraId="4085494D" w14:textId="77777777" w:rsidR="0009283E" w:rsidRDefault="004D39CB">
      <w:pPr>
        <w:pStyle w:val="ListParagraph"/>
        <w:numPr>
          <w:ilvl w:val="0"/>
          <w:numId w:val="2"/>
        </w:numPr>
        <w:spacing w:after="100"/>
      </w:pPr>
      <w:r>
        <w:rPr>
          <w:color w:val="404040"/>
        </w:rPr>
        <w:t>VIRUSTOTAL_*_INDICATOR_DETECT</w:t>
      </w:r>
    </w:p>
    <w:p w14:paraId="4085494E" w14:textId="77777777" w:rsidR="0009283E" w:rsidRDefault="0009283E">
      <w:pPr>
        <w:spacing w:after="120"/>
      </w:pPr>
    </w:p>
    <w:p w14:paraId="4085494F" w14:textId="77777777" w:rsidR="0009283E" w:rsidRDefault="004D39CB">
      <w:pPr>
        <w:pStyle w:val="Heading2"/>
        <w:pBdr>
          <w:bottom w:val="single" w:sz="6" w:space="1" w:color="2E75B6"/>
        </w:pBdr>
      </w:pPr>
      <w:r>
        <w:t>15. Known Limitations and Deferred Items</w:t>
      </w:r>
    </w:p>
    <w:p w14:paraId="40854950" w14:textId="77777777" w:rsidR="0009283E" w:rsidRDefault="004D39CB">
      <w:pPr>
        <w:pStyle w:val="Heading3"/>
      </w:pPr>
      <w:r>
        <w:t xml:space="preserve">Assessment Note on SCO </w:t>
      </w:r>
      <w:proofErr w:type="spellStart"/>
      <w:r>
        <w:t>object_refs</w:t>
      </w:r>
      <w:proofErr w:type="spellEnd"/>
    </w:p>
    <w:p w14:paraId="40854951" w14:textId="77777777" w:rsidR="0009283E" w:rsidRDefault="004D39CB">
      <w:pPr>
        <w:spacing w:after="160"/>
      </w:pPr>
      <w:r>
        <w:rPr>
          <w:color w:val="404040"/>
        </w:rPr>
        <w:t xml:space="preserve">STIX 2.1 Notes reference SDOs in </w:t>
      </w:r>
      <w:proofErr w:type="spellStart"/>
      <w:r>
        <w:rPr>
          <w:color w:val="404040"/>
        </w:rPr>
        <w:t>object_refs</w:t>
      </w:r>
      <w:proofErr w:type="spellEnd"/>
      <w:r>
        <w:rPr>
          <w:color w:val="404040"/>
        </w:rPr>
        <w:t xml:space="preserve">. OpenCTI's worker may reject Notes referencing SCOs (Cyber Observables) in </w:t>
      </w:r>
      <w:proofErr w:type="spellStart"/>
      <w:r>
        <w:rPr>
          <w:color w:val="404040"/>
        </w:rPr>
        <w:t>object_refs</w:t>
      </w:r>
      <w:proofErr w:type="spellEnd"/>
      <w:r>
        <w:rPr>
          <w:color w:val="404040"/>
        </w:rPr>
        <w:t xml:space="preserve"> in certain edge cases. If this occurs, the note is silently not linked to the observable in the UI but still exists in the graph. This requires validation testing across observable types.</w:t>
      </w:r>
    </w:p>
    <w:p w14:paraId="40854952" w14:textId="77777777" w:rsidR="0009283E" w:rsidRDefault="004D39CB">
      <w:pPr>
        <w:pStyle w:val="Heading3"/>
      </w:pPr>
      <w:r>
        <w:t>Container Scoping Race Condition</w:t>
      </w:r>
    </w:p>
    <w:p w14:paraId="40854953" w14:textId="77777777" w:rsidR="0009283E" w:rsidRDefault="004D39CB">
      <w:pPr>
        <w:spacing w:after="160"/>
      </w:pPr>
      <w:r>
        <w:rPr>
          <w:color w:val="404040"/>
        </w:rPr>
        <w:t>The retry loop handles the common case where workers have not yet committed bundle objects when scoping calls are made. In rare cases where worker processing is significantly delayed (e.g. high platform load), the retry loop may exhaust all 5 attempts without success. Affected objects will be created in the graph but not scoped to the RFI container. Analysts can add them manually via the RFI Entities tab.</w:t>
      </w:r>
    </w:p>
    <w:p w14:paraId="40854954" w14:textId="77777777" w:rsidR="0009283E" w:rsidRDefault="004D39CB">
      <w:pPr>
        <w:pStyle w:val="Heading3"/>
      </w:pPr>
      <w:r>
        <w:t>Passive DNS Temporal Resolution</w:t>
      </w:r>
    </w:p>
    <w:p w14:paraId="40854955" w14:textId="77777777" w:rsidR="0009283E" w:rsidRDefault="004D39CB">
      <w:pPr>
        <w:spacing w:after="160"/>
      </w:pPr>
      <w:r>
        <w:rPr>
          <w:color w:val="404040"/>
        </w:rPr>
        <w:t xml:space="preserve">VT's </w:t>
      </w:r>
      <w:proofErr w:type="spellStart"/>
      <w:r>
        <w:rPr>
          <w:color w:val="404040"/>
        </w:rPr>
        <w:t>last_dns_records</w:t>
      </w:r>
      <w:proofErr w:type="spellEnd"/>
      <w:r>
        <w:rPr>
          <w:color w:val="404040"/>
        </w:rPr>
        <w:t xml:space="preserve"> list does not carry per-record timestamps. The connector uses the domain entity's </w:t>
      </w:r>
      <w:proofErr w:type="spellStart"/>
      <w:r>
        <w:rPr>
          <w:color w:val="404040"/>
        </w:rPr>
        <w:t>last_analysis_date</w:t>
      </w:r>
      <w:proofErr w:type="spellEnd"/>
      <w:r>
        <w:rPr>
          <w:color w:val="404040"/>
        </w:rPr>
        <w:t xml:space="preserve"> as a proxy for </w:t>
      </w:r>
      <w:proofErr w:type="spellStart"/>
      <w:r>
        <w:rPr>
          <w:color w:val="404040"/>
        </w:rPr>
        <w:t>stop_time</w:t>
      </w:r>
      <w:proofErr w:type="spellEnd"/>
      <w:r>
        <w:rPr>
          <w:color w:val="404040"/>
        </w:rPr>
        <w:t xml:space="preserve"> on resolves-to relationships. This is the best available approximation but may not accurately reflect when a specific DNS record was last observed.</w:t>
      </w:r>
    </w:p>
    <w:p w14:paraId="40854956" w14:textId="77777777" w:rsidR="0009283E" w:rsidRDefault="004D39CB">
      <w:pPr>
        <w:pStyle w:val="Heading3"/>
      </w:pPr>
      <w:r>
        <w:t>Behavioral Tag Blocklist</w:t>
      </w:r>
    </w:p>
    <w:p w14:paraId="40854957" w14:textId="77777777" w:rsidR="0009283E" w:rsidRDefault="004D39CB">
      <w:pPr>
        <w:spacing w:after="160"/>
      </w:pPr>
      <w:r>
        <w:rPr>
          <w:color w:val="404040"/>
        </w:rPr>
        <w:t>VT's behavioral tag vocabulary is extensive and not exhaustively documented. The _GENERIC_TAGS blocklist covers known categories but may not capture all behavioral tags returned by VT. Tags not in the blocklist and not matching CVE or ATT&amp;CK patterns will be classified as Malware family names. The blocklist should be reviewed periodically against new VT tag output.</w:t>
      </w:r>
    </w:p>
    <w:p w14:paraId="40854958" w14:textId="77777777" w:rsidR="0009283E" w:rsidRDefault="0009283E">
      <w:pPr>
        <w:spacing w:after="120"/>
      </w:pPr>
    </w:p>
    <w:p w14:paraId="40854959" w14:textId="77777777" w:rsidR="0009283E" w:rsidRDefault="004D39CB">
      <w:pPr>
        <w:pStyle w:val="Heading2"/>
        <w:pBdr>
          <w:bottom w:val="single" w:sz="6" w:space="1" w:color="2E75B6"/>
        </w:pBdr>
      </w:pPr>
      <w:r>
        <w:t>16. Design Philosophy Summary</w:t>
      </w:r>
    </w:p>
    <w:p w14:paraId="4085495A" w14:textId="77777777" w:rsidR="0009283E" w:rsidRDefault="004D39CB">
      <w:pPr>
        <w:spacing w:after="160"/>
      </w:pPr>
      <w:r>
        <w:rPr>
          <w:color w:val="404040"/>
        </w:rPr>
        <w:t>The following principles governed all design decisions in this connector:</w:t>
      </w:r>
    </w:p>
    <w:p w14:paraId="4085495B" w14:textId="77777777" w:rsidR="0009283E" w:rsidRDefault="004D39CB">
      <w:pPr>
        <w:pStyle w:val="Heading3"/>
      </w:pPr>
      <w:r>
        <w:lastRenderedPageBreak/>
        <w:t>Enrichment is a deliberate analytical act</w:t>
      </w:r>
    </w:p>
    <w:p w14:paraId="4085495C" w14:textId="77777777" w:rsidR="0009283E" w:rsidRDefault="004D39CB">
      <w:pPr>
        <w:spacing w:after="160"/>
      </w:pPr>
      <w:r>
        <w:rPr>
          <w:color w:val="404040"/>
        </w:rPr>
        <w:t>Enrichment connectors that fire on every observable creation without context produce noise. VT enrichment is restricted to the RFI workbench context to ensure that every enrichment job is tied to an active analytical investigation. The graph should reflect deliberate intelligence production, not automated data accumulation.</w:t>
      </w:r>
    </w:p>
    <w:p w14:paraId="4085495D" w14:textId="77777777" w:rsidR="0009283E" w:rsidRDefault="004D39CB">
      <w:pPr>
        <w:pStyle w:val="Heading3"/>
      </w:pPr>
      <w:r>
        <w:t>The graph is authoritative — not the connector</w:t>
      </w:r>
    </w:p>
    <w:p w14:paraId="4085495E" w14:textId="77777777" w:rsidR="0009283E" w:rsidRDefault="004D39CB">
      <w:pPr>
        <w:spacing w:after="160"/>
      </w:pPr>
      <w:r>
        <w:rPr>
          <w:color w:val="404040"/>
        </w:rPr>
        <w:t>The connector does not make decisions that belong to the graph or to the analyst. Scores are not written to observables. Indicators are not created from detection thresholds. Vocabulary fields are not populated without assessment notes. The connector's role is to surface VT's data into the graph in a structured form. Analytical judgments remain with the analyst.</w:t>
      </w:r>
    </w:p>
    <w:p w14:paraId="4085495F" w14:textId="77777777" w:rsidR="0009283E" w:rsidRDefault="004D39CB">
      <w:pPr>
        <w:pStyle w:val="Heading3"/>
      </w:pPr>
      <w:r>
        <w:t>Every object must be container-scoped</w:t>
      </w:r>
    </w:p>
    <w:p w14:paraId="40854960" w14:textId="77777777" w:rsidR="0009283E" w:rsidRDefault="004D39CB">
      <w:pPr>
        <w:spacing w:after="160"/>
      </w:pPr>
      <w:r>
        <w:rPr>
          <w:color w:val="404040"/>
        </w:rPr>
        <w:t xml:space="preserve">No entity or </w:t>
      </w:r>
      <w:proofErr w:type="gramStart"/>
      <w:r>
        <w:rPr>
          <w:color w:val="404040"/>
        </w:rPr>
        <w:t>observable</w:t>
      </w:r>
      <w:proofErr w:type="gramEnd"/>
      <w:r>
        <w:rPr>
          <w:color w:val="404040"/>
        </w:rPr>
        <w:t xml:space="preserve"> should exist outside a container. All derived objects are scoped to the originating RFI after bundle submission. The retry loop and non-fatal failure handling ensure that enrichment is never blocked by scoping failures, but containment is pursued aggressively.</w:t>
      </w:r>
    </w:p>
    <w:p w14:paraId="40854961" w14:textId="77777777" w:rsidR="0009283E" w:rsidRDefault="004D39CB">
      <w:pPr>
        <w:pStyle w:val="Heading3"/>
      </w:pPr>
      <w:r>
        <w:t>Absence of data is data</w:t>
      </w:r>
    </w:p>
    <w:p w14:paraId="40854962" w14:textId="77777777" w:rsidR="0009283E" w:rsidRDefault="004D39CB">
      <w:pPr>
        <w:spacing w:after="160"/>
      </w:pPr>
      <w:r>
        <w:rPr>
          <w:color w:val="404040"/>
        </w:rPr>
        <w:t xml:space="preserve">A VT 404 is not an error. It is </w:t>
      </w:r>
      <w:proofErr w:type="gramStart"/>
      <w:r>
        <w:rPr>
          <w:color w:val="404040"/>
        </w:rPr>
        <w:t>intelligence</w:t>
      </w:r>
      <w:proofErr w:type="gramEnd"/>
      <w:r>
        <w:rPr>
          <w:color w:val="404040"/>
        </w:rPr>
        <w:t>. Not-found states are recorded as assessment notes with context and analyst guidance. The connector never silently discards a VT lookup result — every enrichment attempt produces a knowable output in the graph.</w:t>
      </w:r>
    </w:p>
    <w:p w14:paraId="40854963" w14:textId="77777777" w:rsidR="0009283E" w:rsidRDefault="004D39CB">
      <w:pPr>
        <w:pStyle w:val="Heading3"/>
      </w:pPr>
      <w:r>
        <w:t>Provenance must be self-contained</w:t>
      </w:r>
    </w:p>
    <w:p w14:paraId="40854964" w14:textId="77777777" w:rsidR="0009283E" w:rsidRDefault="004D39CB">
      <w:pPr>
        <w:spacing w:after="160"/>
      </w:pPr>
      <w:r>
        <w:rPr>
          <w:color w:val="404040"/>
        </w:rPr>
        <w:t xml:space="preserve">Every object the connector creates — relationships, derived observables, notes, indicators — carries enough information to be understood without navigating to a parent entity. The VT permalink, the </w:t>
      </w:r>
      <w:proofErr w:type="spellStart"/>
      <w:r>
        <w:rPr>
          <w:color w:val="404040"/>
        </w:rPr>
        <w:t>VirusTotal</w:t>
      </w:r>
      <w:proofErr w:type="spellEnd"/>
      <w:r>
        <w:rPr>
          <w:color w:val="404040"/>
        </w:rPr>
        <w:t xml:space="preserve"> Identity as author, TLP:GREEN marking, and descriptive text on relationships all serve this goal. An analyst encountering a VT-derived object in any context should be able to immediately understand its origin, meaning, and source.</w:t>
      </w:r>
    </w:p>
    <w:p w14:paraId="40854965" w14:textId="77777777" w:rsidR="0009283E" w:rsidRDefault="0009283E">
      <w:pPr>
        <w:spacing w:after="120"/>
      </w:pPr>
    </w:p>
    <w:sectPr w:rsidR="0009283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679E0" w14:textId="77777777" w:rsidR="004D39CB" w:rsidRDefault="004D39CB">
      <w:r>
        <w:separator/>
      </w:r>
    </w:p>
  </w:endnote>
  <w:endnote w:type="continuationSeparator" w:id="0">
    <w:p w14:paraId="100145C1" w14:textId="77777777" w:rsidR="004D39CB" w:rsidRDefault="004D39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54967" w14:textId="51836F26" w:rsidR="0009283E" w:rsidRDefault="004D39CB">
    <w:pPr>
      <w:pBdr>
        <w:top w:val="single" w:sz="6" w:space="1" w:color="2E75B6"/>
      </w:pBdr>
      <w:tabs>
        <w:tab w:val="right" w:pos="9360"/>
      </w:tabs>
      <w:spacing w:before="80"/>
    </w:pPr>
    <w:r>
      <w:rPr>
        <w:color w:val="2E75B6"/>
        <w:sz w:val="18"/>
        <w:szCs w:val="18"/>
      </w:rPr>
      <w:t>INTERNAL USE ONLY  |  TLP:GREEN</w:t>
    </w:r>
    <w:r>
      <w:rPr>
        <w:sz w:val="18"/>
        <w:szCs w:val="18"/>
      </w:rPr>
      <w:tab/>
    </w:r>
    <w:r>
      <w:rPr>
        <w:color w:val="404040"/>
        <w:sz w:val="18"/>
        <w:szCs w:val="18"/>
      </w:rPr>
      <w:fldChar w:fldCharType="begin"/>
    </w:r>
    <w:r>
      <w:rPr>
        <w:color w:val="404040"/>
        <w:sz w:val="18"/>
        <w:szCs w:val="18"/>
      </w:rPr>
      <w:instrText>PAGE</w:instrText>
    </w:r>
    <w:r>
      <w:rPr>
        <w:color w:val="404040"/>
        <w:sz w:val="18"/>
        <w:szCs w:val="18"/>
      </w:rPr>
      <w:fldChar w:fldCharType="separate"/>
    </w:r>
    <w:r w:rsidR="00401D68">
      <w:rPr>
        <w:noProof/>
        <w:color w:val="404040"/>
        <w:sz w:val="18"/>
        <w:szCs w:val="18"/>
      </w:rPr>
      <w:t>1</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BCB2B" w14:textId="77777777" w:rsidR="004D39CB" w:rsidRDefault="004D39CB">
      <w:r>
        <w:separator/>
      </w:r>
    </w:p>
  </w:footnote>
  <w:footnote w:type="continuationSeparator" w:id="0">
    <w:p w14:paraId="341727C5" w14:textId="77777777" w:rsidR="004D39CB" w:rsidRDefault="004D39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54966" w14:textId="77777777" w:rsidR="0009283E" w:rsidRDefault="004D39CB">
    <w:pPr>
      <w:pBdr>
        <w:bottom w:val="single" w:sz="6" w:space="1" w:color="2E75B6"/>
      </w:pBdr>
      <w:spacing w:after="80"/>
    </w:pPr>
    <w:proofErr w:type="spellStart"/>
    <w:r>
      <w:rPr>
        <w:color w:val="2E75B6"/>
        <w:sz w:val="18"/>
        <w:szCs w:val="18"/>
      </w:rPr>
      <w:t>VirusTotal</w:t>
    </w:r>
    <w:proofErr w:type="spellEnd"/>
    <w:r>
      <w:rPr>
        <w:color w:val="2E75B6"/>
        <w:sz w:val="18"/>
        <w:szCs w:val="18"/>
      </w:rPr>
      <w:t xml:space="preserve"> Enrichment Connector  |  Scoping &amp;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82727"/>
    <w:multiLevelType w:val="hybridMultilevel"/>
    <w:tmpl w:val="76681082"/>
    <w:lvl w:ilvl="0" w:tplc="B4A4ACF2">
      <w:start w:val="1"/>
      <w:numFmt w:val="bullet"/>
      <w:lvlText w:val="•"/>
      <w:lvlJc w:val="left"/>
      <w:pPr>
        <w:ind w:left="720" w:hanging="360"/>
      </w:pPr>
    </w:lvl>
    <w:lvl w:ilvl="1" w:tplc="6262E636">
      <w:numFmt w:val="decimal"/>
      <w:lvlText w:val=""/>
      <w:lvlJc w:val="left"/>
    </w:lvl>
    <w:lvl w:ilvl="2" w:tplc="63F2C860">
      <w:numFmt w:val="decimal"/>
      <w:lvlText w:val=""/>
      <w:lvlJc w:val="left"/>
    </w:lvl>
    <w:lvl w:ilvl="3" w:tplc="8B34C23A">
      <w:numFmt w:val="decimal"/>
      <w:lvlText w:val=""/>
      <w:lvlJc w:val="left"/>
    </w:lvl>
    <w:lvl w:ilvl="4" w:tplc="B2F87FE8">
      <w:numFmt w:val="decimal"/>
      <w:lvlText w:val=""/>
      <w:lvlJc w:val="left"/>
    </w:lvl>
    <w:lvl w:ilvl="5" w:tplc="770EB266">
      <w:numFmt w:val="decimal"/>
      <w:lvlText w:val=""/>
      <w:lvlJc w:val="left"/>
    </w:lvl>
    <w:lvl w:ilvl="6" w:tplc="6B0E628C">
      <w:numFmt w:val="decimal"/>
      <w:lvlText w:val=""/>
      <w:lvlJc w:val="left"/>
    </w:lvl>
    <w:lvl w:ilvl="7" w:tplc="F4585B7C">
      <w:numFmt w:val="decimal"/>
      <w:lvlText w:val=""/>
      <w:lvlJc w:val="left"/>
    </w:lvl>
    <w:lvl w:ilvl="8" w:tplc="183ABB82">
      <w:numFmt w:val="decimal"/>
      <w:lvlText w:val=""/>
      <w:lvlJc w:val="left"/>
    </w:lvl>
  </w:abstractNum>
  <w:abstractNum w:abstractNumId="1" w15:restartNumberingAfterBreak="0">
    <w:nsid w:val="543425A2"/>
    <w:multiLevelType w:val="hybridMultilevel"/>
    <w:tmpl w:val="D6FE69C8"/>
    <w:lvl w:ilvl="0" w:tplc="94342470">
      <w:start w:val="1"/>
      <w:numFmt w:val="bullet"/>
      <w:lvlText w:val="●"/>
      <w:lvlJc w:val="left"/>
      <w:pPr>
        <w:ind w:left="720" w:hanging="360"/>
      </w:pPr>
    </w:lvl>
    <w:lvl w:ilvl="1" w:tplc="4AD2B62C">
      <w:start w:val="1"/>
      <w:numFmt w:val="bullet"/>
      <w:lvlText w:val="○"/>
      <w:lvlJc w:val="left"/>
      <w:pPr>
        <w:ind w:left="1440" w:hanging="360"/>
      </w:pPr>
    </w:lvl>
    <w:lvl w:ilvl="2" w:tplc="6C8A7B20">
      <w:start w:val="1"/>
      <w:numFmt w:val="bullet"/>
      <w:lvlText w:val="■"/>
      <w:lvlJc w:val="left"/>
      <w:pPr>
        <w:ind w:left="2160" w:hanging="360"/>
      </w:pPr>
    </w:lvl>
    <w:lvl w:ilvl="3" w:tplc="10DE6542">
      <w:start w:val="1"/>
      <w:numFmt w:val="bullet"/>
      <w:lvlText w:val="●"/>
      <w:lvlJc w:val="left"/>
      <w:pPr>
        <w:ind w:left="2880" w:hanging="360"/>
      </w:pPr>
    </w:lvl>
    <w:lvl w:ilvl="4" w:tplc="24B203CA">
      <w:start w:val="1"/>
      <w:numFmt w:val="bullet"/>
      <w:lvlText w:val="○"/>
      <w:lvlJc w:val="left"/>
      <w:pPr>
        <w:ind w:left="3600" w:hanging="360"/>
      </w:pPr>
    </w:lvl>
    <w:lvl w:ilvl="5" w:tplc="B348685E">
      <w:start w:val="1"/>
      <w:numFmt w:val="bullet"/>
      <w:lvlText w:val="■"/>
      <w:lvlJc w:val="left"/>
      <w:pPr>
        <w:ind w:left="4320" w:hanging="360"/>
      </w:pPr>
    </w:lvl>
    <w:lvl w:ilvl="6" w:tplc="36C48DC8">
      <w:start w:val="1"/>
      <w:numFmt w:val="bullet"/>
      <w:lvlText w:val="●"/>
      <w:lvlJc w:val="left"/>
      <w:pPr>
        <w:ind w:left="5040" w:hanging="360"/>
      </w:pPr>
    </w:lvl>
    <w:lvl w:ilvl="7" w:tplc="C80CF2F4">
      <w:start w:val="1"/>
      <w:numFmt w:val="bullet"/>
      <w:lvlText w:val="●"/>
      <w:lvlJc w:val="left"/>
      <w:pPr>
        <w:ind w:left="5760" w:hanging="360"/>
      </w:pPr>
    </w:lvl>
    <w:lvl w:ilvl="8" w:tplc="FAC03C20">
      <w:start w:val="1"/>
      <w:numFmt w:val="bullet"/>
      <w:lvlText w:val="●"/>
      <w:lvlJc w:val="left"/>
      <w:pPr>
        <w:ind w:left="6480" w:hanging="360"/>
      </w:pPr>
    </w:lvl>
  </w:abstractNum>
  <w:abstractNum w:abstractNumId="2" w15:restartNumberingAfterBreak="0">
    <w:nsid w:val="69F955F0"/>
    <w:multiLevelType w:val="hybridMultilevel"/>
    <w:tmpl w:val="5EDEC26A"/>
    <w:lvl w:ilvl="0" w:tplc="CD8031EE">
      <w:start w:val="1"/>
      <w:numFmt w:val="bullet"/>
      <w:lvlText w:val="◦"/>
      <w:lvlJc w:val="left"/>
      <w:pPr>
        <w:ind w:left="1080" w:hanging="360"/>
      </w:pPr>
    </w:lvl>
    <w:lvl w:ilvl="1" w:tplc="CD40B054">
      <w:numFmt w:val="decimal"/>
      <w:lvlText w:val=""/>
      <w:lvlJc w:val="left"/>
    </w:lvl>
    <w:lvl w:ilvl="2" w:tplc="36BC1C58">
      <w:numFmt w:val="decimal"/>
      <w:lvlText w:val=""/>
      <w:lvlJc w:val="left"/>
    </w:lvl>
    <w:lvl w:ilvl="3" w:tplc="C7E056EC">
      <w:numFmt w:val="decimal"/>
      <w:lvlText w:val=""/>
      <w:lvlJc w:val="left"/>
    </w:lvl>
    <w:lvl w:ilvl="4" w:tplc="0332D942">
      <w:numFmt w:val="decimal"/>
      <w:lvlText w:val=""/>
      <w:lvlJc w:val="left"/>
    </w:lvl>
    <w:lvl w:ilvl="5" w:tplc="723AB35C">
      <w:numFmt w:val="decimal"/>
      <w:lvlText w:val=""/>
      <w:lvlJc w:val="left"/>
    </w:lvl>
    <w:lvl w:ilvl="6" w:tplc="5FFA5974">
      <w:numFmt w:val="decimal"/>
      <w:lvlText w:val=""/>
      <w:lvlJc w:val="left"/>
    </w:lvl>
    <w:lvl w:ilvl="7" w:tplc="32D6A42E">
      <w:numFmt w:val="decimal"/>
      <w:lvlText w:val=""/>
      <w:lvlJc w:val="left"/>
    </w:lvl>
    <w:lvl w:ilvl="8" w:tplc="F6DCE490">
      <w:numFmt w:val="decimal"/>
      <w:lvlText w:val=""/>
      <w:lvlJc w:val="left"/>
    </w:lvl>
  </w:abstractNum>
  <w:num w:numId="1" w16cid:durableId="1922788058">
    <w:abstractNumId w:val="1"/>
    <w:lvlOverride w:ilvl="0">
      <w:startOverride w:val="1"/>
    </w:lvlOverride>
  </w:num>
  <w:num w:numId="2" w16cid:durableId="16146286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83E"/>
    <w:rsid w:val="0009283E"/>
    <w:rsid w:val="002C7CE7"/>
    <w:rsid w:val="00401D68"/>
    <w:rsid w:val="004D3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5485A"/>
  <w15:docId w15:val="{15AAABA7-BDAB-4D62-B4E4-C59305E6F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FFFFFF"/>
      <w:sz w:val="36"/>
      <w:szCs w:val="36"/>
    </w:rPr>
  </w:style>
  <w:style w:type="paragraph" w:styleId="Heading2">
    <w:name w:val="heading 2"/>
    <w:uiPriority w:val="9"/>
    <w:unhideWhenUsed/>
    <w:qFormat/>
    <w:pPr>
      <w:spacing w:before="320" w:after="160"/>
      <w:outlineLvl w:val="1"/>
    </w:pPr>
    <w:rPr>
      <w:b/>
      <w:bCs/>
      <w:color w:val="1F3864"/>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2710</Words>
  <Characters>16210</Characters>
  <Application>Microsoft Office Word</Application>
  <DocSecurity>0</DocSecurity>
  <Lines>405</Lines>
  <Paragraphs>227</Paragraphs>
  <ScaleCrop>false</ScaleCrop>
  <Company/>
  <LinksUpToDate>false</LinksUpToDate>
  <CharactersWithSpaces>18693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McFarland</cp:lastModifiedBy>
  <cp:revision>2</cp:revision>
  <dcterms:created xsi:type="dcterms:W3CDTF">2026-03-14T00:34:00Z</dcterms:created>
  <dcterms:modified xsi:type="dcterms:W3CDTF">2026-03-14T10:35:00Z</dcterms:modified>
</cp:coreProperties>
</file>