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Food Security Analysis: The Case for AI-Powered Community Assistance</w:t>
      </w:r>
    </w:p>
    <w:p w:rsidR="00000000" w:rsidDel="00000000" w:rsidP="00000000" w:rsidRDefault="00000000" w:rsidRPr="00000000" w14:paraId="00000002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Executive Summary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The Foodbank Hunger 2024 report found that "nearly seven-in-ten (69%) single parent households have experienced food insecurity" with 41% facing severe conditions (Ipsos Public Affairs, 2024, p. 16). With 53% of Australians households unaware of available food relief services, there's a critical gap between need and access that AI-powered solutions can bridge.</w:t>
      </w:r>
    </w:p>
    <w:p w:rsidR="00000000" w:rsidDel="00000000" w:rsidP="00000000" w:rsidRDefault="00000000" w:rsidRPr="00000000" w14:paraId="00000004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Key Findings</w:t>
      </w:r>
    </w:p>
    <w:p w:rsidR="00000000" w:rsidDel="00000000" w:rsidP="00000000" w:rsidRDefault="00000000" w:rsidRPr="00000000" w14:paraId="00000005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1. Scale of the Problem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73% of households experienced food insecurity for the first time in the past 12 months.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This represents a significant portion of the Australian population requiring immediate support.</w:t>
      </w:r>
    </w:p>
    <w:p w:rsidR="00000000" w:rsidDel="00000000" w:rsidP="00000000" w:rsidRDefault="00000000" w:rsidRPr="00000000" w14:paraId="00000008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2. Acute vs. Chronic Food Insecurity: </w:t>
      </w:r>
    </w:p>
    <w:p w:rsidR="00000000" w:rsidDel="00000000" w:rsidP="00000000" w:rsidRDefault="00000000" w:rsidRPr="00000000" w14:paraId="00000009">
      <w:pPr>
        <w:keepNext w:val="1"/>
        <w:jc w:val="both"/>
        <w:rPr/>
      </w:pPr>
      <w:r w:rsidDel="00000000" w:rsidR="00000000" w:rsidRPr="00000000">
        <w:rPr/>
        <w:drawing>
          <wp:inline distB="0" distT="0" distL="0" distR="0">
            <wp:extent cx="5731510" cy="3787140"/>
            <wp:effectExtent b="0" l="0" r="0" t="0"/>
            <wp:docPr descr="A graph of a number of people&#10;&#10;AI-generated content may be incorrect." id="1934516025" name="image2.png"/>
            <a:graphic>
              <a:graphicData uri="http://schemas.openxmlformats.org/drawingml/2006/picture">
                <pic:pic>
                  <pic:nvPicPr>
                    <pic:cNvPr descr="A graph of a number of people&#10;&#10;AI-generated content may be incorrect.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  <w:rtl w:val="0"/>
        </w:rPr>
        <w:t xml:space="preserve">1/ First time experiencing food insecurity among food insecure households. Source: Ipsos Public Affairs (2024), Hunger Report 2024, p. 18.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Most food insecurity is an acute crisis, not a chronic condition: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73-77% experienced their first episode within the past year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12-16% have been food insecure for 1-2 years (increasing trend)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11% represent long-term food insecure households (stable vulnerable population)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b w:val="1"/>
          <w:rtl w:val="0"/>
        </w:rPr>
        <w:t xml:space="preserve">Insight</w:t>
      </w:r>
      <w:r w:rsidDel="00000000" w:rsidR="00000000" w:rsidRPr="00000000">
        <w:rPr>
          <w:rtl w:val="0"/>
        </w:rPr>
        <w:t xml:space="preserve">: The acute nature of food insecurity suggests that timely, responsive interventions through AI agents could prevent short-term crises from becoming long-term problems.</w:t>
      </w:r>
    </w:p>
    <w:p w:rsidR="00000000" w:rsidDel="00000000" w:rsidP="00000000" w:rsidRDefault="00000000" w:rsidRPr="00000000" w14:paraId="00000011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3. Awareness Gap </w:t>
      </w:r>
    </w:p>
    <w:p w:rsidR="00000000" w:rsidDel="00000000" w:rsidP="00000000" w:rsidRDefault="00000000" w:rsidRPr="00000000" w14:paraId="00000012">
      <w:pPr>
        <w:keepNext w:val="1"/>
        <w:jc w:val="both"/>
        <w:rPr/>
      </w:pPr>
      <w:r w:rsidDel="00000000" w:rsidR="00000000" w:rsidRPr="00000000">
        <w:rPr/>
        <w:drawing>
          <wp:inline distB="0" distT="0" distL="0" distR="0">
            <wp:extent cx="5731510" cy="3590290"/>
            <wp:effectExtent b="0" l="0" r="0" t="0"/>
            <wp:docPr descr="A graph of a number of people&#10;&#10;AI-generated content may be incorrect." id="1934516027" name="image4.jpg"/>
            <a:graphic>
              <a:graphicData uri="http://schemas.openxmlformats.org/drawingml/2006/picture">
                <pic:pic>
                  <pic:nvPicPr>
                    <pic:cNvPr descr="A graph of a number of people&#10;&#10;AI-generated content may be incorrect."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ptos" w:cs="Aptos" w:eastAsia="Aptos" w:hAnsi="Aptos"/>
          <w:b w:val="1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  <w:rtl w:val="0"/>
        </w:rPr>
        <w:t xml:space="preserve">/ Figure 21. Whether Australians know where to get help or support for food relief.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  <w:rtl w:val="0"/>
        </w:rPr>
        <w:t xml:space="preserve">Source: Ipsos Public Affairs (2024), Hunger Report 2024, p. 34.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Knowledge of food relief services remains critically low: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2022: 38% knew where to access help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2024: 47% knew where to access help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53% still lack awareness of available services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b w:val="1"/>
          <w:rtl w:val="0"/>
        </w:rPr>
        <w:t xml:space="preserve">Insight:</w:t>
      </w:r>
      <w:r w:rsidDel="00000000" w:rsidR="00000000" w:rsidRPr="00000000">
        <w:rPr>
          <w:rtl w:val="0"/>
        </w:rPr>
        <w:t xml:space="preserve"> Despite improvement, more than half of Australians don't know where to find help when needed. This information gap is exactly what an AI agent can address through proactive, accessible communication.</w:t>
      </w:r>
    </w:p>
    <w:p w:rsidR="00000000" w:rsidDel="00000000" w:rsidP="00000000" w:rsidRDefault="00000000" w:rsidRPr="00000000" w14:paraId="00000019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4. Service Utilization Crisis</w:t>
      </w:r>
    </w:p>
    <w:p w:rsidR="00000000" w:rsidDel="00000000" w:rsidP="00000000" w:rsidRDefault="00000000" w:rsidRPr="00000000" w14:paraId="0000001A">
      <w:pPr>
        <w:keepNext w:val="1"/>
        <w:jc w:val="both"/>
        <w:rPr/>
      </w:pPr>
      <w:r w:rsidDel="00000000" w:rsidR="00000000" w:rsidRPr="00000000">
        <w:rPr/>
        <w:drawing>
          <wp:inline distB="0" distT="0" distL="0" distR="0">
            <wp:extent cx="5731510" cy="3474720"/>
            <wp:effectExtent b="0" l="0" r="0" t="0"/>
            <wp:docPr id="19345160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  <w:rtl w:val="0"/>
        </w:rPr>
        <w:t xml:space="preserve">3/ Figure 24. Food relief received by food insecure households. Source: Ipsos Public Affairs (2024), Hunger Report 2024, p. 37.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Only 43% of food-insecure households received food relief in 2024: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2023: 24% received support</w:t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2024: 43% received support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Despite doubling, 57% still receive no help</w:t>
      </w:r>
    </w:p>
    <w:p w:rsidR="00000000" w:rsidDel="00000000" w:rsidP="00000000" w:rsidRDefault="00000000" w:rsidRPr="00000000" w14:paraId="00000020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5. Barriers to Access:</w:t>
      </w:r>
    </w:p>
    <w:p w:rsidR="00000000" w:rsidDel="00000000" w:rsidP="00000000" w:rsidRDefault="00000000" w:rsidRPr="00000000" w14:paraId="00000021">
      <w:pPr>
        <w:keepNext w:val="1"/>
        <w:jc w:val="both"/>
        <w:rPr/>
      </w:pPr>
      <w:r w:rsidDel="00000000" w:rsidR="00000000" w:rsidRPr="00000000">
        <w:rPr/>
        <w:drawing>
          <wp:inline distB="0" distT="0" distL="0" distR="0">
            <wp:extent cx="5663184" cy="7315200"/>
            <wp:effectExtent b="0" l="0" r="0" t="0"/>
            <wp:docPr descr="A graph of a number of people&#10;&#10;AI-generated content may be incorrect." id="1934516028" name="image3.jpg"/>
            <a:graphic>
              <a:graphicData uri="http://schemas.openxmlformats.org/drawingml/2006/picture">
                <pic:pic>
                  <pic:nvPicPr>
                    <pic:cNvPr descr="A graph of a number of people&#10;&#10;AI-generated content may be incorrect."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3184" cy="731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  <w:rtl w:val="0"/>
        </w:rPr>
        <w:t xml:space="preserve">4/ Figure 29. Barriers to accessing food relief among food insecure households 2024. Source: Ipsos Public Affairs (2024), Hunger Report 2024, p. 41.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Social stigma is the primary barrier (48% of households – NET Food Insecure):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48% feel embarrassment/shame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52% of severely food insecure households feel ashamed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43% of moderately food insecure households feel ashamed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Other significant barriers: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36% believe others need it more</w:t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33% are unsure about eligibility</w:t>
      </w:r>
    </w:p>
    <w:p w:rsidR="00000000" w:rsidDel="00000000" w:rsidP="00000000" w:rsidRDefault="00000000" w:rsidRPr="00000000" w14:paraId="0000002A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The AI Agent Solution</w:t>
      </w:r>
    </w:p>
    <w:p w:rsidR="00000000" w:rsidDel="00000000" w:rsidP="00000000" w:rsidRDefault="00000000" w:rsidRPr="00000000" w14:paraId="0000002B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Our analysis reveals a disaster of food insecurity:</w:t>
      </w:r>
    </w:p>
    <w:p w:rsidR="00000000" w:rsidDel="00000000" w:rsidP="00000000" w:rsidRDefault="00000000" w:rsidRPr="00000000" w14:paraId="0000002D">
      <w:pPr>
        <w:numPr>
          <w:ilvl w:val="0"/>
          <w:numId w:val="1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High need (73% of households affected the first time)</w:t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Low awareness (53% don't know where to get help)</w:t>
      </w:r>
    </w:p>
    <w:p w:rsidR="00000000" w:rsidDel="00000000" w:rsidP="00000000" w:rsidRDefault="00000000" w:rsidRPr="00000000" w14:paraId="0000002F">
      <w:pPr>
        <w:numPr>
          <w:ilvl w:val="0"/>
          <w:numId w:val="1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Social barriers (48% too embarrassed to seek help)</w:t>
      </w:r>
    </w:p>
    <w:p w:rsidR="00000000" w:rsidDel="00000000" w:rsidP="00000000" w:rsidRDefault="00000000" w:rsidRPr="00000000" w14:paraId="00000030">
      <w:pPr>
        <w:numPr>
          <w:ilvl w:val="0"/>
          <w:numId w:val="1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Underutilization (57% of those in need receive no support)</w:t>
      </w:r>
    </w:p>
    <w:p w:rsidR="00000000" w:rsidDel="00000000" w:rsidP="00000000" w:rsidRDefault="00000000" w:rsidRPr="00000000" w14:paraId="00000031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How AI Agents Address These Gaps</w:t>
      </w:r>
    </w:p>
    <w:p w:rsidR="00000000" w:rsidDel="00000000" w:rsidP="00000000" w:rsidRDefault="00000000" w:rsidRPr="00000000" w14:paraId="00000032">
      <w:pPr>
        <w:pStyle w:val="Heading4"/>
        <w:jc w:val="both"/>
        <w:rPr/>
      </w:pPr>
      <w:r w:rsidDel="00000000" w:rsidR="00000000" w:rsidRPr="00000000">
        <w:rPr>
          <w:rtl w:val="0"/>
        </w:rPr>
        <w:t xml:space="preserve">1. Eliminating Information Barriers</w:t>
      </w:r>
    </w:p>
    <w:p w:rsidR="00000000" w:rsidDel="00000000" w:rsidP="00000000" w:rsidRDefault="00000000" w:rsidRPr="00000000" w14:paraId="00000033">
      <w:pPr>
        <w:numPr>
          <w:ilvl w:val="0"/>
          <w:numId w:val="1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Identification of nearby food relief events</w:t>
      </w:r>
    </w:p>
    <w:p w:rsidR="00000000" w:rsidDel="00000000" w:rsidP="00000000" w:rsidRDefault="00000000" w:rsidRPr="00000000" w14:paraId="00000034">
      <w:pPr>
        <w:numPr>
          <w:ilvl w:val="0"/>
          <w:numId w:val="1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Multilingual support for diverse communities</w:t>
      </w:r>
    </w:p>
    <w:p w:rsidR="00000000" w:rsidDel="00000000" w:rsidP="00000000" w:rsidRDefault="00000000" w:rsidRPr="00000000" w14:paraId="00000035">
      <w:pPr>
        <w:pStyle w:val="Heading4"/>
        <w:jc w:val="both"/>
        <w:rPr/>
      </w:pPr>
      <w:r w:rsidDel="00000000" w:rsidR="00000000" w:rsidRPr="00000000">
        <w:rPr>
          <w:rtl w:val="0"/>
        </w:rPr>
        <w:t xml:space="preserve">2. Reducing Social Stigma</w:t>
      </w:r>
    </w:p>
    <w:p w:rsidR="00000000" w:rsidDel="00000000" w:rsidP="00000000" w:rsidRDefault="00000000" w:rsidRPr="00000000" w14:paraId="00000036">
      <w:pPr>
        <w:numPr>
          <w:ilvl w:val="0"/>
          <w:numId w:val="1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Anonymous, private interaction through digital channels</w:t>
      </w:r>
    </w:p>
    <w:p w:rsidR="00000000" w:rsidDel="00000000" w:rsidP="00000000" w:rsidRDefault="00000000" w:rsidRPr="00000000" w14:paraId="00000037">
      <w:pPr>
        <w:numPr>
          <w:ilvl w:val="0"/>
          <w:numId w:val="1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Dignified access without face-to-face embarrassment</w:t>
      </w:r>
    </w:p>
    <w:p w:rsidR="00000000" w:rsidDel="00000000" w:rsidP="00000000" w:rsidRDefault="00000000" w:rsidRPr="00000000" w14:paraId="00000038">
      <w:pPr>
        <w:numPr>
          <w:ilvl w:val="0"/>
          <w:numId w:val="1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Normalized service discovery through everyday technology</w:t>
      </w:r>
    </w:p>
    <w:p w:rsidR="00000000" w:rsidDel="00000000" w:rsidP="00000000" w:rsidRDefault="00000000" w:rsidRPr="00000000" w14:paraId="00000039">
      <w:pPr>
        <w:pStyle w:val="Heading4"/>
        <w:jc w:val="both"/>
        <w:rPr/>
      </w:pPr>
      <w:r w:rsidDel="00000000" w:rsidR="00000000" w:rsidRPr="00000000">
        <w:rPr>
          <w:rtl w:val="0"/>
        </w:rPr>
        <w:t xml:space="preserve">3. Ensuring Eligibility Clarity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Automated eligibility screening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Clear, simple explanations of qualification criteria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Immediate confirmation of entitlement to services</w:t>
      </w:r>
    </w:p>
    <w:p w:rsidR="00000000" w:rsidDel="00000000" w:rsidP="00000000" w:rsidRDefault="00000000" w:rsidRPr="00000000" w14:paraId="0000003D">
      <w:pPr>
        <w:pStyle w:val="Heading4"/>
        <w:jc w:val="both"/>
        <w:rPr/>
      </w:pPr>
      <w:r w:rsidDel="00000000" w:rsidR="00000000" w:rsidRPr="00000000">
        <w:rPr>
          <w:rtl w:val="0"/>
        </w:rPr>
        <w:t xml:space="preserve">4. Autonomous Task Execution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Automatic booking of appointments/slots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Form completion assistance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Reminder systems to prevent missed opportunities</w:t>
      </w:r>
    </w:p>
    <w:p w:rsidR="00000000" w:rsidDel="00000000" w:rsidP="00000000" w:rsidRDefault="00000000" w:rsidRPr="00000000" w14:paraId="00000041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Target Impact</w:t>
      </w:r>
    </w:p>
    <w:p w:rsidR="00000000" w:rsidDel="00000000" w:rsidP="00000000" w:rsidRDefault="00000000" w:rsidRPr="00000000" w14:paraId="00000042">
      <w:pPr>
        <w:pStyle w:val="Heading4"/>
        <w:jc w:val="both"/>
        <w:rPr/>
      </w:pPr>
      <w:r w:rsidDel="00000000" w:rsidR="00000000" w:rsidRPr="00000000">
        <w:rPr>
          <w:rtl w:val="0"/>
        </w:rPr>
        <w:t xml:space="preserve">Immediate Benefits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Bridge the 53% awareness gap through proactive information delivery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Reduce stigma barriers for the 48% who feel embarrassed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Increase utilization beyond the current 43% success rate</w:t>
      </w:r>
    </w:p>
    <w:p w:rsidR="00000000" w:rsidDel="00000000" w:rsidP="00000000" w:rsidRDefault="00000000" w:rsidRPr="00000000" w14:paraId="00000046">
      <w:pPr>
        <w:pStyle w:val="Heading4"/>
        <w:jc w:val="both"/>
        <w:rPr/>
      </w:pPr>
      <w:r w:rsidDel="00000000" w:rsidR="00000000" w:rsidRPr="00000000">
        <w:rPr>
          <w:rtl w:val="0"/>
        </w:rPr>
        <w:t xml:space="preserve">Long-term Community Impact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Prevent acute crises from becoming chronic food insecurity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Build community resilience through better resource allocation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Create inclusive access for digitally excluded populations</w:t>
      </w:r>
    </w:p>
    <w:p w:rsidR="00000000" w:rsidDel="00000000" w:rsidP="00000000" w:rsidRDefault="00000000" w:rsidRPr="00000000" w14:paraId="0000004A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Scalability &amp; Future Vision</w:t>
      </w:r>
    </w:p>
    <w:p w:rsidR="00000000" w:rsidDel="00000000" w:rsidP="00000000" w:rsidRDefault="00000000" w:rsidRPr="00000000" w14:paraId="0000004B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Beyond Food Relief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Our AI agent architecture scales seamlessly across all community services - healthcare appointments, housing assistance, mental health support. One intelligent assistant, unlimited possibilities.</w:t>
      </w:r>
    </w:p>
    <w:p w:rsidR="00000000" w:rsidDel="00000000" w:rsidP="00000000" w:rsidRDefault="00000000" w:rsidRPr="00000000" w14:paraId="0000004D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Multi-Service Integration: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Healthcare: GP appointments, specialist referrals, mental health support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Housing: Emergency accommodation, rental assistance, housing applications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Education: Adult learning programs, digital literacy courses, language classes</w:t>
      </w:r>
    </w:p>
    <w:p w:rsidR="00000000" w:rsidDel="00000000" w:rsidP="00000000" w:rsidRDefault="00000000" w:rsidRPr="00000000" w14:paraId="00000051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Adaptive Intelligence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As our AI learns from each community, it becomes smarter. The system continuously evolves through:</w:t>
      </w:r>
    </w:p>
    <w:p w:rsidR="00000000" w:rsidDel="00000000" w:rsidP="00000000" w:rsidRDefault="00000000" w:rsidRPr="00000000" w14:paraId="00000053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Predictive Analytics: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Forecasting demand patterns for different services needed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Identifying at-risk households before they experience crisis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Optimizing resource allocation based on community needs</w:t>
      </w:r>
    </w:p>
    <w:p w:rsidR="00000000" w:rsidDel="00000000" w:rsidP="00000000" w:rsidRDefault="00000000" w:rsidRPr="00000000" w14:paraId="00000057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Local Customization: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Language support tailored to community demographics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Accessibility features for aging populations</w:t>
      </w:r>
    </w:p>
    <w:p w:rsidR="00000000" w:rsidDel="00000000" w:rsidP="00000000" w:rsidRDefault="00000000" w:rsidRPr="00000000" w14:paraId="0000005A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Continuous Learning: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User feedback loops to improve service recommendations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Integration with government databases for service availability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Machine learning models that adapt to community needs</w:t>
      </w:r>
    </w:p>
    <w:p w:rsidR="00000000" w:rsidDel="00000000" w:rsidP="00000000" w:rsidRDefault="00000000" w:rsidRPr="00000000" w14:paraId="0000005E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Vision &amp; Impact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Imagine every Australian having a personal government services assistant in their pocket - breaking down barriers, eliminating bureaucracy, building connected communities.</w:t>
      </w:r>
    </w:p>
    <w:p w:rsidR="00000000" w:rsidDel="00000000" w:rsidP="00000000" w:rsidRDefault="00000000" w:rsidRPr="00000000" w14:paraId="0000006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National Transformation: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Universal Access: Digital strategies ensure no one is left behind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Proactive Government: Services reach people before crises occur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Community Connection: AI facilitates peer support networks and volunteer matching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Data-Driven Policy: Anonymous analytics inform better service planning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b w:val="1"/>
          <w:rtl w:val="0"/>
        </w:rPr>
        <w:t xml:space="preserve">Measurable Outcomes: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Increase service utilization across all community services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Reduce time-to-access from weeks to hours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Create cost savings through efficient resource allocation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Build stronger, more resilient communities</w:t>
      </w:r>
    </w:p>
    <w:p w:rsidR="00000000" w:rsidDel="00000000" w:rsidP="00000000" w:rsidRDefault="00000000" w:rsidRPr="00000000" w14:paraId="0000006A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The data demonstrates a clear market failure in food relief service delivery. While services exist and awareness is slowly improving, significant gaps remain in connecting those in need with available support. An AI-powered community assistant represents a scalable, dignified, and effective solution to bridge these critical gaps.</w:t>
      </w:r>
    </w:p>
    <w:p w:rsidR="00000000" w:rsidDel="00000000" w:rsidP="00000000" w:rsidRDefault="00000000" w:rsidRPr="00000000" w14:paraId="0000006C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Reference: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72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Affairs, I. P. (2024).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Hunger Report 2024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(24-048445-01). </w:t>
      </w:r>
      <w:hyperlink r:id="rId11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https://reports.foodbank.org.au/wp-content/uploads/2024/10/2024_Foodbank_Hunger_Report_IPSOS-Report.pdf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AU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53E9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53E9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53E9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53E9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C53E9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C53E9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C53E9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53E9B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53E9B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53E9B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53E9B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53E9B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C53E9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C53E9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C53E9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C53E9B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C53E9B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C53E9B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53E9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53E9B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C53E9B"/>
    <w:rPr>
      <w:b w:val="1"/>
      <w:bCs w:val="1"/>
      <w:smallCaps w:val="1"/>
      <w:color w:val="0f4761" w:themeColor="accent1" w:themeShade="0000BF"/>
      <w:spacing w:val="5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C53E9B"/>
    <w:pPr>
      <w:spacing w:after="200" w:line="240" w:lineRule="auto"/>
    </w:pPr>
    <w:rPr>
      <w:i w:val="1"/>
      <w:iCs w:val="1"/>
      <w:color w:val="0e2841" w:themeColor="text2"/>
      <w:sz w:val="18"/>
      <w:szCs w:val="18"/>
    </w:rPr>
  </w:style>
  <w:style w:type="paragraph" w:styleId="EndNoteBibliographyTitle" w:customStyle="1">
    <w:name w:val="EndNote Bibliography Title"/>
    <w:basedOn w:val="Normal"/>
    <w:link w:val="EndNoteBibliographyTitleChar"/>
    <w:rsid w:val="00972CB9"/>
    <w:pPr>
      <w:spacing w:after="0"/>
      <w:jc w:val="center"/>
    </w:pPr>
    <w:rPr>
      <w:rFonts w:ascii="Aptos" w:hAnsi="Aptos"/>
      <w:noProof w:val="1"/>
      <w:lang w:val="en-US"/>
    </w:rPr>
  </w:style>
  <w:style w:type="character" w:styleId="EndNoteBibliographyTitleChar" w:customStyle="1">
    <w:name w:val="EndNote Bibliography Title Char"/>
    <w:basedOn w:val="DefaultParagraphFont"/>
    <w:link w:val="EndNoteBibliographyTitle"/>
    <w:rsid w:val="00972CB9"/>
    <w:rPr>
      <w:rFonts w:ascii="Aptos" w:hAnsi="Aptos"/>
      <w:noProof w:val="1"/>
      <w:lang w:val="en-US"/>
    </w:rPr>
  </w:style>
  <w:style w:type="paragraph" w:styleId="EndNoteBibliography" w:customStyle="1">
    <w:name w:val="EndNote Bibliography"/>
    <w:basedOn w:val="Normal"/>
    <w:link w:val="EndNoteBibliographyChar"/>
    <w:rsid w:val="00972CB9"/>
    <w:pPr>
      <w:spacing w:line="240" w:lineRule="auto"/>
    </w:pPr>
    <w:rPr>
      <w:rFonts w:ascii="Aptos" w:hAnsi="Aptos"/>
      <w:noProof w:val="1"/>
      <w:lang w:val="en-US"/>
    </w:rPr>
  </w:style>
  <w:style w:type="character" w:styleId="EndNoteBibliographyChar" w:customStyle="1">
    <w:name w:val="EndNote Bibliography Char"/>
    <w:basedOn w:val="DefaultParagraphFont"/>
    <w:link w:val="EndNoteBibliography"/>
    <w:rsid w:val="00972CB9"/>
    <w:rPr>
      <w:rFonts w:ascii="Aptos" w:hAnsi="Aptos"/>
      <w:noProof w:val="1"/>
      <w:lang w:val="en-US"/>
    </w:rPr>
  </w:style>
  <w:style w:type="character" w:styleId="Hyperlink">
    <w:name w:val="Hyperlink"/>
    <w:basedOn w:val="DefaultParagraphFont"/>
    <w:uiPriority w:val="99"/>
    <w:unhideWhenUsed w:val="1"/>
    <w:rsid w:val="00972C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72CB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eports.foodbank.org.au/wp-content/uploads/2024/10/2024_Foodbank_Hunger_Report_IPSOS-Report.pdf" TargetMode="External"/><Relationship Id="rId10" Type="http://schemas.openxmlformats.org/officeDocument/2006/relationships/image" Target="media/image3.jp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0Pr1pejk0SBVqi+GvAnvkFAj1g==">CgMxLjA4AHIhMWdpb25YRGhVeHF2RUpqNmVDQUpVcndJbXlxREJoVFRv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2025-08-31T01:15:00Z</dcterms:created>
  <dc:creator>Tran Minh Tan</dc:creator>
</cp:coreProperties>
</file>