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heading=h.q8fdwtvxsrw8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firstLine="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 w:firstLine="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Strategic Security Recommendations for Botium Toys:</w:t>
      </w:r>
    </w:p>
    <w:p w:rsidR="00000000" w:rsidDel="00000000" w:rsidP="00000000" w:rsidRDefault="00000000" w:rsidRPr="00000000" w14:paraId="00000077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​Access Control &amp; Privilege Management: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Implement the principle of least access to ensure that employees and system accounts are only granted the minimum permissions necessary to perform their specific job functions.</w:t>
      </w:r>
    </w:p>
    <w:p w:rsidR="00000000" w:rsidDel="00000000" w:rsidP="00000000" w:rsidRDefault="00000000" w:rsidRPr="00000000" w14:paraId="00000078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​Operational Segregation: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Enforce clear job separation (separation of duties) across critical processes to mitigate internal risks and prevent single points of failure.</w:t>
      </w:r>
    </w:p>
    <w:p w:rsidR="00000000" w:rsidDel="00000000" w:rsidP="00000000" w:rsidRDefault="00000000" w:rsidRPr="00000000" w14:paraId="00000079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​Asset Definition &amp; Risk Valuation: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Establish a comprehensive asset management program to clearly catalog all hardware, software, and data assets, enabling the IT department to accurately evaluate each asset's business value and associated risk level.</w:t>
      </w:r>
    </w:p>
    <w:p w:rsidR="00000000" w:rsidDel="00000000" w:rsidP="00000000" w:rsidRDefault="00000000" w:rsidRPr="00000000" w14:paraId="0000007A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​Regulatory Compliance: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Maintain rigorous alignment with applicable legal frameworks, specifically ensuring full compliance with standards related to processing online payments and conducting operations within the European Union (E.U.).  </w:t>
      </w:r>
    </w:p>
    <w:p w:rsidR="00000000" w:rsidDel="00000000" w:rsidP="00000000" w:rsidRDefault="00000000" w:rsidRPr="00000000" w14:paraId="0000007B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​Data Governance &amp; Protection Policies: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Develop and enforce robust organizational policies dedicated to securely handling customer sensitive data, enforcing strict password standards, and protecting critical information assets.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oursera.org/learn/foundations-of-cybersecurity/supplement/xu4pr/controls-frameworks-and-compliance" TargetMode="External"/><Relationship Id="rId9" Type="http://schemas.openxmlformats.org/officeDocument/2006/relationships/hyperlink" Target="https://docs.google.com/document/d/1s2u_RuhRAI40JSh-eZHvaFsV1ZMxcNSWXifHDTOsgFc/template/preview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s2u_RuhRAI40JSh-eZHvaFsV1ZMxcNSWXifHDTOsgFc/template/preview#heading=h.evidx83t54sc" TargetMode="External"/><Relationship Id="rId8" Type="http://schemas.openxmlformats.org/officeDocument/2006/relationships/hyperlink" Target="https://docs.google.com/document/d/1btezuy_bMKWoK8pd97ZuzdWB9y6au_zfkrpkfVf8ktI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aPEfxn1FIHlLyE2iRhdeWDiuGg==">CgMxLjAyDmgucThmZHd0dnhzcnc4OAByITF4QVFFWndsbzd0N1ZlZl9WdWRGRno1eS03a3ZZZ1lIcg==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