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Risk Management Process in </w:t>
      </w:r>
      <w:r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  <w:t>Wal-Mart Department Store Co., Ltd.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480"/>
        <w:jc w:val="center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  <w:t>Student name:</w:t>
      </w:r>
    </w:p>
    <w:p>
      <w:pPr>
        <w:pStyle w:val="style0"/>
        <w:spacing w:lineRule="auto" w:line="480"/>
        <w:jc w:val="center"/>
        <w:contextualSpacing/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  <w:t>Course:</w:t>
      </w:r>
    </w:p>
    <w:p>
      <w:pPr>
        <w:pStyle w:val="style0"/>
        <w:spacing w:lineRule="auto" w:line="480"/>
        <w:jc w:val="center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222222"/>
          <w:sz w:val="24"/>
          <w:szCs w:val="24"/>
          <w:shd w:val="clear" w:color="auto" w:fill="ffffff"/>
        </w:rPr>
        <w:t>Date: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Introduction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Wal-Mart is among the largest retail stores in the US.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It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s also the largest retail chain globally.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 the present, Wal-Mart houses</w:t>
      </w:r>
      <w:r>
        <w:rPr>
          <w:rFonts w:ascii="Times New Roman" w:cs="Times New Roman" w:hAnsi="Times New Roman"/>
          <w:sz w:val="24"/>
          <w:szCs w:val="24"/>
        </w:rPr>
        <w:t xml:space="preserve"> over 4,150 retail stores around the world.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Among the regions that the company is domin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nt are Canada,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Mexico and the UK.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Wal-Mart is ranked as the leading company globally in terms of wealth and power according to the </w:t>
      </w:r>
      <w:r>
        <w:rPr>
          <w:rFonts w:ascii="Times New Roman" w:cs="Times New Roman" w:hAnsi="Times New Roman"/>
          <w:i/>
          <w:sz w:val="24"/>
          <w:szCs w:val="24"/>
        </w:rPr>
        <w:t>Fortune 500 Index</w:t>
      </w:r>
      <w:r>
        <w:rPr>
          <w:rFonts w:ascii="Times New Roman" w:cs="Times New Roman" w:hAnsi="Times New Roman"/>
          <w:i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Izadpanah</w:t>
      </w:r>
      <w:r>
        <w:rPr>
          <w:rFonts w:ascii="Times New Roman" w:cs="Times New Roman" w:hAnsi="Times New Roman"/>
          <w:sz w:val="24"/>
          <w:szCs w:val="24"/>
        </w:rPr>
        <w:t>, 2020)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Besides,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is also ranked as the second most admired company globally.</w:t>
      </w:r>
      <w:r>
        <w:rPr>
          <w:rFonts w:ascii="Times New Roman" w:cs="Times New Roman" w:hAnsi="Times New Roman"/>
          <w:sz w:val="24"/>
          <w:szCs w:val="24"/>
        </w:rPr>
        <w:t xml:space="preserve"> Wal-Mart was established in 1962 by Sam Walton with three key policies defining the business; respect for the individual, service to customers, and striving for excellence. The company sells high-quality products at fairly low prices by employing technology, warehousing and negotiating deals for merchandise directly from manufacturers hence no middlemen are involved in between.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the modern world,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every sector of a business is </w:t>
      </w:r>
      <w:r>
        <w:rPr>
          <w:rFonts w:ascii="Times New Roman" w:cs="Times New Roman" w:hAnsi="Times New Roman"/>
          <w:sz w:val="24"/>
          <w:szCs w:val="24"/>
        </w:rPr>
        <w:t>faced with</w:t>
      </w:r>
      <w:r>
        <w:rPr>
          <w:rFonts w:ascii="Times New Roman" w:cs="Times New Roman" w:hAnsi="Times New Roman"/>
          <w:sz w:val="24"/>
          <w:szCs w:val="24"/>
        </w:rPr>
        <w:t xml:space="preserve"> various operational risks.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Considering </w:t>
      </w:r>
      <w:r>
        <w:rPr>
          <w:rFonts w:ascii="Times New Roman" w:cs="Times New Roman" w:hAnsi="Times New Roman"/>
          <w:sz w:val="24"/>
          <w:szCs w:val="24"/>
        </w:rPr>
        <w:t>this context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 organizations establish diverse Enterprise Risk Management (ERM) techniques to address associated risks.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 Wal-Mart store is a huge </w:t>
      </w:r>
      <w:r>
        <w:rPr>
          <w:rFonts w:ascii="Times New Roman" w:cs="Times New Roman" w:hAnsi="Times New Roman"/>
          <w:sz w:val="24"/>
          <w:szCs w:val="24"/>
        </w:rPr>
        <w:t xml:space="preserve">corporation; hence it needs risk management-oriented strategies to enhance its operations. Besides, the corporation requires a risk management process that is simplified for purposes of effectively evaluating and controlling the current risks that the organization is faced </w:t>
      </w:r>
      <w:r>
        <w:rPr>
          <w:rFonts w:ascii="Times New Roman" w:cs="Times New Roman" w:hAnsi="Times New Roman"/>
          <w:sz w:val="24"/>
          <w:szCs w:val="24"/>
        </w:rPr>
        <w:t>with. This paper aims to establish the different sources and types of risks/ disruptions, Drivers, barriers and/or challenges in managing risks and Strategies and/or frameworks for managing risks/disruptions in International Logistics networks taking the case of Wal-Mart.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Sources and types of </w:t>
      </w:r>
      <w:r>
        <w:rPr>
          <w:rFonts w:ascii="Times New Roman" w:cs="Times New Roman" w:hAnsi="Times New Roman"/>
          <w:b/>
          <w:sz w:val="24"/>
          <w:szCs w:val="24"/>
        </w:rPr>
        <w:t>risks in International Logistics of Wal-Mart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Risks, especially market risks facing Wal-Mart come with a different effect as compared to other companies because of different company operations. For instance, the manipulation of interests </w:t>
      </w:r>
      <w:r>
        <w:rPr>
          <w:rFonts w:ascii="Times New Roman" w:cs="Times New Roman" w:hAnsi="Times New Roman"/>
          <w:sz w:val="24"/>
          <w:szCs w:val="24"/>
        </w:rPr>
        <w:t xml:space="preserve">by the Federal </w:t>
      </w:r>
      <w:r>
        <w:rPr>
          <w:rFonts w:ascii="Times New Roman" w:cs="Times New Roman" w:hAnsi="Times New Roman"/>
          <w:sz w:val="24"/>
          <w:szCs w:val="24"/>
        </w:rPr>
        <w:t>Reserve poses different effects on various corporations. Among the various sources of risks of Wal-Mart in International Logistics are discussed below.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Sources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Global presence of </w:t>
      </w:r>
      <w:r>
        <w:rPr>
          <w:rFonts w:ascii="Times New Roman" w:cs="Times New Roman" w:hAnsi="Times New Roman"/>
          <w:sz w:val="24"/>
          <w:szCs w:val="24"/>
        </w:rPr>
        <w:t>Wal-Mart.Since</w:t>
      </w:r>
      <w:r>
        <w:rPr>
          <w:rFonts w:ascii="Times New Roman" w:cs="Times New Roman" w:hAnsi="Times New Roman"/>
          <w:sz w:val="24"/>
          <w:szCs w:val="24"/>
        </w:rPr>
        <w:t xml:space="preserve"> Wal-Mart has its stores </w:t>
      </w:r>
      <w:r>
        <w:rPr>
          <w:rFonts w:ascii="Times New Roman" w:cs="Times New Roman" w:hAnsi="Times New Roman"/>
          <w:sz w:val="24"/>
          <w:szCs w:val="24"/>
        </w:rPr>
        <w:t>internationally;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z w:val="24"/>
          <w:szCs w:val="24"/>
        </w:rPr>
        <w:t xml:space="preserve"> has to </w:t>
      </w:r>
      <w:r>
        <w:rPr>
          <w:rFonts w:ascii="Times New Roman" w:cs="Times New Roman" w:hAnsi="Times New Roman"/>
          <w:sz w:val="24"/>
          <w:szCs w:val="24"/>
        </w:rPr>
        <w:t>enforce a wide</w:t>
      </w:r>
      <w:r>
        <w:rPr>
          <w:rFonts w:ascii="Times New Roman" w:cs="Times New Roman" w:hAnsi="Times New Roman"/>
          <w:sz w:val="24"/>
          <w:szCs w:val="24"/>
        </w:rPr>
        <w:t xml:space="preserve"> range of workplace standards in each of the countries depending on the needs of that country.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Salary pressure. At the beginning of 2018, Wal-Mart increased the wage bill of its employees from $9 to 11$ and increased on some employee benefits. As a resu</w:t>
      </w:r>
      <w:r>
        <w:rPr>
          <w:rFonts w:ascii="Times New Roman" w:cs="Times New Roman" w:hAnsi="Times New Roman"/>
          <w:sz w:val="24"/>
          <w:szCs w:val="24"/>
        </w:rPr>
        <w:t>lt, the company ended up servicing approximately $1000 in terms of bonuses to its employees.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Lawsuits.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2018 for instance,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Wal-Mart reached a preliminary agreement of paying $65 million as a settlement fee of lawsuits from 100,000 Cashiers from California who accused the company of failure to offer seats during their shifts at work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Diermeier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2017</w:t>
      </w:r>
      <w:r>
        <w:rPr>
          <w:rFonts w:ascii="Times New Roman" w:cs="Times New Roman" w:hAnsi="Times New Roman"/>
          <w:sz w:val="24"/>
          <w:szCs w:val="24"/>
        </w:rPr>
        <w:t>). Besides,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Wal</w:t>
      </w:r>
      <w:r>
        <w:rPr>
          <w:rFonts w:ascii="Times New Roman" w:cs="Times New Roman" w:hAnsi="Times New Roman"/>
          <w:sz w:val="24"/>
          <w:szCs w:val="24"/>
        </w:rPr>
        <w:t xml:space="preserve">-mart was sued in 2011 for suing an employee who reportedly had </w:t>
      </w:r>
      <w:r>
        <w:rPr>
          <w:rFonts w:ascii="Times New Roman" w:cs="Times New Roman" w:hAnsi="Times New Roman"/>
          <w:sz w:val="24"/>
          <w:szCs w:val="24"/>
        </w:rPr>
        <w:t>commented about gay people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Such incidents of lawsuits that are </w:t>
      </w:r>
      <w:r>
        <w:rPr>
          <w:rFonts w:ascii="Times New Roman" w:cs="Times New Roman" w:hAnsi="Times New Roman"/>
          <w:sz w:val="24"/>
          <w:szCs w:val="24"/>
        </w:rPr>
        <w:t>continuously</w:t>
      </w:r>
      <w:r>
        <w:rPr>
          <w:rFonts w:ascii="Times New Roman" w:cs="Times New Roman" w:hAnsi="Times New Roman"/>
          <w:sz w:val="24"/>
          <w:szCs w:val="24"/>
        </w:rPr>
        <w:t xml:space="preserve"> facing the company rises alarm</w:t>
      </w:r>
      <w:r>
        <w:rPr>
          <w:rFonts w:ascii="Times New Roman" w:cs="Times New Roman" w:hAnsi="Times New Roman"/>
          <w:sz w:val="24"/>
          <w:szCs w:val="24"/>
        </w:rPr>
        <w:t xml:space="preserve"> on shareholders and customers over an increased probability of them bearing the costs of such suits.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Types</w:t>
      </w:r>
    </w:p>
    <w:p>
      <w:pPr>
        <w:pStyle w:val="style179"/>
        <w:numPr>
          <w:ilvl w:val="0"/>
          <w:numId w:val="3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Business cycle risks.</w:t>
      </w:r>
    </w:p>
    <w:p>
      <w:pPr>
        <w:pStyle w:val="style179"/>
        <w:numPr>
          <w:ilvl w:val="0"/>
          <w:numId w:val="3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Interest rate risks</w:t>
      </w:r>
    </w:p>
    <w:p>
      <w:pPr>
        <w:pStyle w:val="style179"/>
        <w:numPr>
          <w:ilvl w:val="0"/>
          <w:numId w:val="3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Exchange rate risks</w:t>
      </w:r>
    </w:p>
    <w:p>
      <w:pPr>
        <w:pStyle w:val="style179"/>
        <w:numPr>
          <w:ilvl w:val="0"/>
          <w:numId w:val="3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Regulatory risks. For instance, in 2014, the Chinese go</w:t>
      </w:r>
      <w:r>
        <w:rPr>
          <w:rFonts w:ascii="Times New Roman" w:cs="Times New Roman" w:hAnsi="Times New Roman"/>
          <w:sz w:val="24"/>
          <w:szCs w:val="24"/>
        </w:rPr>
        <w:t>vernment imposed a fine of $10 million to Wal-Mart for violating the food safety regulations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Zou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zhang</w:t>
      </w:r>
      <w:r>
        <w:rPr>
          <w:rFonts w:ascii="Times New Roman" w:cs="Times New Roman" w:hAnsi="Times New Roman"/>
          <w:sz w:val="24"/>
          <w:szCs w:val="24"/>
        </w:rPr>
        <w:t xml:space="preserve"> and Liu, 2021)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Such fines made the company work on training programs, inspections and recalling certain products that made the company incur extra exp</w:t>
      </w:r>
      <w:r>
        <w:rPr>
          <w:rFonts w:ascii="Times New Roman" w:cs="Times New Roman" w:hAnsi="Times New Roman"/>
          <w:sz w:val="24"/>
          <w:szCs w:val="24"/>
        </w:rPr>
        <w:t>enses.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Challenges in Managing Risks in International Logistics networks</w:t>
      </w:r>
    </w:p>
    <w:p>
      <w:pPr>
        <w:pStyle w:val="style179"/>
        <w:numPr>
          <w:ilvl w:val="0"/>
          <w:numId w:val="4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Among the major challenge facing Wal-Mart in managing risk is the lack of how the mechanism of imitating its distribution part. The company has invested a lot in technology without ga</w:t>
      </w:r>
      <w:r>
        <w:rPr>
          <w:rFonts w:ascii="Times New Roman" w:cs="Times New Roman" w:hAnsi="Times New Roman"/>
          <w:sz w:val="24"/>
          <w:szCs w:val="24"/>
        </w:rPr>
        <w:t>thering enough knowledge of how to apply it. Among the competitive advantage that Wal-Mart has is its IT system but mastering the concept of the system will take many years to be actualized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Handfield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and McCormack, 2007)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Supplier resistance to change.</w:t>
      </w:r>
      <w:r>
        <w:rPr>
          <w:rFonts w:ascii="Times New Roman" w:cs="Times New Roman" w:hAnsi="Times New Roman"/>
          <w:sz w:val="24"/>
          <w:szCs w:val="24"/>
        </w:rPr>
        <w:t xml:space="preserve"> The supply chain has to involve suppliers, manufacturers and customers for it to be efficient. Wal-Mart has been facing resistance from suppliers to adapt to its high-tech models and mechanisms and this makes it hard for Wal-Mart in managing its risks.</w:t>
      </w:r>
    </w:p>
    <w:p>
      <w:pPr>
        <w:pStyle w:val="style179"/>
        <w:numPr>
          <w:ilvl w:val="0"/>
          <w:numId w:val="4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>ternal resistance to change from the workers and staff of Wal-Mart.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Strategies for managing risks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a bid to ensure that the company effectively manages risk and </w:t>
      </w:r>
      <w:r>
        <w:rPr>
          <w:rFonts w:ascii="Times New Roman" w:cs="Times New Roman" w:hAnsi="Times New Roman"/>
          <w:sz w:val="24"/>
          <w:szCs w:val="24"/>
        </w:rPr>
        <w:t>experiences improved sales and reduced costs, Wal-Mart has employed a combination of technology and logistics management strategies to achieve this.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Planning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terms of choice of competitive strategy, Wal-Mart chooses on cost. For purposes of maximizing cost, Wal-Mart employs low-c</w:t>
      </w:r>
      <w:r>
        <w:rPr>
          <w:rFonts w:ascii="Times New Roman" w:cs="Times New Roman" w:hAnsi="Times New Roman"/>
          <w:sz w:val="24"/>
          <w:szCs w:val="24"/>
        </w:rPr>
        <w:t>ost truck and rail logistics (</w:t>
      </w:r>
      <w:r>
        <w:rPr>
          <w:rFonts w:ascii="Times New Roman" w:cs="Times New Roman" w:hAnsi="Times New Roman"/>
          <w:sz w:val="24"/>
          <w:szCs w:val="24"/>
        </w:rPr>
        <w:t>Brunn</w:t>
      </w:r>
      <w:r>
        <w:rPr>
          <w:rFonts w:ascii="Times New Roman" w:cs="Times New Roman" w:hAnsi="Times New Roman"/>
          <w:sz w:val="24"/>
          <w:szCs w:val="24"/>
        </w:rPr>
        <w:t>, 2006</w:t>
      </w:r>
      <w:r>
        <w:rPr>
          <w:rFonts w:ascii="Times New Roman" w:cs="Times New Roman" w:hAnsi="Times New Roman"/>
          <w:sz w:val="24"/>
          <w:szCs w:val="24"/>
        </w:rPr>
        <w:t>). Besides, Wal-Mart aims</w:t>
      </w:r>
      <w:r>
        <w:rPr>
          <w:rFonts w:ascii="Times New Roman" w:cs="Times New Roman" w:hAnsi="Times New Roman"/>
          <w:sz w:val="24"/>
          <w:szCs w:val="24"/>
        </w:rPr>
        <w:t xml:space="preserve"> at minimizing its inventory quantities by integrating processes such as </w:t>
      </w:r>
      <w:r>
        <w:rPr>
          <w:rFonts w:ascii="Times New Roman" w:cs="Times New Roman" w:hAnsi="Times New Roman"/>
          <w:sz w:val="24"/>
          <w:szCs w:val="24"/>
        </w:rPr>
        <w:t>manufacturing, suppliers and warehousing into one common operation. This strategy helps to make savings on time and costs incurred in carrying out the activities independently.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Purcha</w:t>
      </w:r>
      <w:r>
        <w:rPr>
          <w:rFonts w:ascii="Times New Roman" w:cs="Times New Roman" w:hAnsi="Times New Roman"/>
          <w:sz w:val="24"/>
          <w:szCs w:val="24"/>
        </w:rPr>
        <w:t>sing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Wal-Mart is very strict when it comes to the selection of its suppliers.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screens suppliers step by step and ends up choosing a supplier based on standard and additional requirements.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Distribution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Wal-Mart has deployed many distribution </w:t>
      </w:r>
      <w:r>
        <w:rPr>
          <w:rFonts w:ascii="Times New Roman" w:cs="Times New Roman" w:hAnsi="Times New Roman"/>
          <w:sz w:val="24"/>
          <w:szCs w:val="24"/>
        </w:rPr>
        <w:t>centres</w:t>
      </w:r>
      <w:r>
        <w:rPr>
          <w:rFonts w:ascii="Times New Roman" w:cs="Times New Roman" w:hAnsi="Times New Roman"/>
          <w:sz w:val="24"/>
          <w:szCs w:val="24"/>
        </w:rPr>
        <w:t xml:space="preserve"> to </w:t>
      </w:r>
      <w:r>
        <w:rPr>
          <w:rFonts w:ascii="Times New Roman" w:cs="Times New Roman" w:hAnsi="Times New Roman"/>
          <w:sz w:val="24"/>
          <w:szCs w:val="24"/>
        </w:rPr>
        <w:t xml:space="preserve">acts as hubs for its operations. Besides, it has 9 disaster distribution </w:t>
      </w:r>
      <w:r>
        <w:rPr>
          <w:rFonts w:ascii="Times New Roman" w:cs="Times New Roman" w:hAnsi="Times New Roman"/>
          <w:sz w:val="24"/>
          <w:szCs w:val="24"/>
        </w:rPr>
        <w:t>centres</w:t>
      </w:r>
      <w:r>
        <w:rPr>
          <w:rFonts w:ascii="Times New Roman" w:cs="Times New Roman" w:hAnsi="Times New Roman"/>
          <w:sz w:val="24"/>
          <w:szCs w:val="24"/>
        </w:rPr>
        <w:t xml:space="preserve"> that are strategically located across the country to offer emergence services</w:t>
      </w:r>
      <w:r>
        <w:rPr>
          <w:rFonts w:ascii="Times New Roman" w:cs="Times New Roman" w:hAnsi="Times New Roman"/>
          <w:sz w:val="24"/>
          <w:szCs w:val="24"/>
        </w:rPr>
        <w:t xml:space="preserve"> (Holmes, 2011)</w:t>
      </w:r>
      <w:r>
        <w:rPr>
          <w:rFonts w:ascii="Times New Roman" w:cs="Times New Roman" w:hAnsi="Times New Roman"/>
          <w:sz w:val="24"/>
          <w:szCs w:val="24"/>
        </w:rPr>
        <w:t>. Also, Wal-Mart employs a remixing concept strategy in its network strategy that e</w:t>
      </w:r>
      <w:r>
        <w:rPr>
          <w:rFonts w:ascii="Times New Roman" w:cs="Times New Roman" w:hAnsi="Times New Roman"/>
          <w:sz w:val="24"/>
          <w:szCs w:val="24"/>
        </w:rPr>
        <w:t>nables fast-moving products to be made available in retails quickly with slow-moving products placed at some strategic distance away from their demand points.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Global logistics design for Wal-Mart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company builds on a competitive strategy of dominating e</w:t>
      </w:r>
      <w:r>
        <w:rPr>
          <w:rFonts w:ascii="Times New Roman" w:cs="Times New Roman" w:hAnsi="Times New Roman"/>
          <w:sz w:val="24"/>
          <w:szCs w:val="24"/>
        </w:rPr>
        <w:t xml:space="preserve">very sector of </w:t>
      </w:r>
      <w:r>
        <w:rPr>
          <w:rFonts w:ascii="Times New Roman" w:cs="Times New Roman" w:hAnsi="Times New Roman"/>
          <w:sz w:val="24"/>
          <w:szCs w:val="24"/>
        </w:rPr>
        <w:t>business. Its</w:t>
      </w:r>
      <w:r>
        <w:rPr>
          <w:rFonts w:ascii="Times New Roman" w:cs="Times New Roman" w:hAnsi="Times New Roman"/>
          <w:sz w:val="24"/>
          <w:szCs w:val="24"/>
        </w:rPr>
        <w:t xml:space="preserve"> design model is founded on establishing more stores,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making existing stores larger, and having an expansion into other retail </w:t>
      </w:r>
      <w:r>
        <w:rPr>
          <w:rFonts w:ascii="Times New Roman" w:cs="Times New Roman" w:hAnsi="Times New Roman"/>
          <w:sz w:val="24"/>
          <w:szCs w:val="24"/>
        </w:rPr>
        <w:t>sectors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Blanchard,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Comm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, and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Mathaisel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2008)</w:t>
      </w:r>
      <w:r>
        <w:rPr>
          <w:rFonts w:ascii="Times New Roman" w:cs="Times New Roman" w:hAnsi="Times New Roman"/>
          <w:sz w:val="24"/>
          <w:szCs w:val="24"/>
        </w:rPr>
        <w:t xml:space="preserve">. Besides, Wal-Mart has </w:t>
      </w:r>
      <w:r>
        <w:rPr>
          <w:rFonts w:ascii="Times New Roman" w:cs="Times New Roman" w:hAnsi="Times New Roman"/>
          <w:sz w:val="24"/>
          <w:szCs w:val="24"/>
        </w:rPr>
        <w:t>an efficient Enterprise Risk Management technique that has undergone tremendous reforms. The management of Wal-Mart came up with a five-step risk management process to offer solutions to the risks available in the organization and the mechanisms of altering the risks.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Conclusion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conclusion, Wal-Mart is the leading retailer in the world and its operations are moving into new countries each year. Wal-Mart is experiencing expansion with the majority of its sectors experiencing a significant rise in incomes generated. For the compa</w:t>
      </w:r>
      <w:r>
        <w:rPr>
          <w:rFonts w:ascii="Times New Roman" w:cs="Times New Roman" w:hAnsi="Times New Roman"/>
          <w:sz w:val="24"/>
          <w:szCs w:val="24"/>
        </w:rPr>
        <w:t>ny to stay high on the ranks and market representation, the company has to keep improving its strategy of eliminating risks in the market to have better dealing with stakeholders and customers.</w:t>
      </w: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48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References</w:t>
      </w:r>
    </w:p>
    <w:p>
      <w:pPr>
        <w:pStyle w:val="style0"/>
        <w:tabs>
          <w:tab w:val="left" w:leader="none" w:pos="7785"/>
        </w:tabs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Atkinson, W., 2003.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Enterprise risk management at Wal-Mart.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Risk Management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50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(12), pp.36-40.</w:t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Blanchard, C.,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Comm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, C.L. and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Mathaisel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D.F., 2008. Adding value to service providers: benchmarking Wal</w:t>
      </w:r>
      <w:r>
        <w:rPr>
          <w:rFonts w:ascii="Cambria Math" w:cs="Times New Roman" w:hAnsi="Cambria Math"/>
          <w:color w:val="222222"/>
          <w:sz w:val="24"/>
          <w:szCs w:val="24"/>
          <w:shd w:val="clear" w:color="auto" w:fill="ffffff"/>
        </w:rPr>
        <w:t>‐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Mart.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Benchmarking: 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An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 International Journal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.</w:t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Brunn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S.D., 2006.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Wal-Mart 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world: The world's biggest corporation in the global economy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Taylor &amp; Francis.</w:t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Diermeier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D., 2017. Wal-Mart: The Store Wars.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Kellogg School of Management Cases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.</w:t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Handfield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R. and McCormack, K.P. eds., 2007.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Supply chain risk management: minimizing disrup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tions in global sourcing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CRC press.</w:t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Holmes, T.J., 2011.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The diffusion of Wal</w:t>
      </w:r>
      <w:r>
        <w:rPr>
          <w:rFonts w:ascii="Cambria Math" w:cs="Times New Roman" w:hAnsi="Cambria Math"/>
          <w:color w:val="222222"/>
          <w:sz w:val="24"/>
          <w:szCs w:val="24"/>
          <w:shd w:val="clear" w:color="auto" w:fill="ffffff"/>
        </w:rPr>
        <w:t>‐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Mart and Economies of density.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Econometrica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79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(1), pp.253-302.</w:t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Izadpanah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, N., 2020. A study of human values at Wal-Mart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company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.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Asian Journal of Multidimensional Research (AJMR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9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(7), pp.61-70.</w:t>
      </w:r>
    </w:p>
    <w:p>
      <w:pPr>
        <w:pStyle w:val="style0"/>
        <w:spacing w:lineRule="auto" w:line="480"/>
        <w:ind w:left="720" w:hanging="720"/>
        <w:contextualSpacing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Zou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Q., Zhang, T. and Liu, W., 2021.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A fire risk assessment method based on the combination of quantified safety checklist and structure entropy weight for shopping malls. 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Proceedings of the Institution of Mechanical Engineers, Part O: </w:t>
      </w:r>
      <w:r>
        <w:rPr>
          <w:rFonts w:ascii="Times New Roman" w:cs="Times New Roman" w:hAnsi="Times New Roman"/>
          <w:i/>
          <w:iCs/>
          <w:color w:val="222222"/>
          <w:sz w:val="24"/>
          <w:szCs w:val="24"/>
          <w:shd w:val="clear" w:color="auto" w:fill="ffffff"/>
        </w:rPr>
        <w:t>Journal of Risk and Reliability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, p.1748006X20987378.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2326550"/>
    <w:lvl w:ilvl="0" w:tplc="449ED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8D29CF2" w:tentative="1">
      <w:start w:val="1"/>
      <w:numFmt w:val="lowerLetter"/>
      <w:lvlText w:val="%2."/>
      <w:lvlJc w:val="left"/>
      <w:pPr>
        <w:ind w:left="1440" w:hanging="360"/>
      </w:pPr>
    </w:lvl>
    <w:lvl w:ilvl="2" w:tplc="828EE730" w:tentative="1">
      <w:start w:val="1"/>
      <w:numFmt w:val="lowerRoman"/>
      <w:lvlText w:val="%3."/>
      <w:lvlJc w:val="right"/>
      <w:pPr>
        <w:ind w:left="2160" w:hanging="180"/>
      </w:pPr>
    </w:lvl>
    <w:lvl w:ilvl="3" w:tplc="A934C4DC" w:tentative="1">
      <w:start w:val="1"/>
      <w:numFmt w:val="decimal"/>
      <w:lvlText w:val="%4."/>
      <w:lvlJc w:val="left"/>
      <w:pPr>
        <w:ind w:left="2880" w:hanging="360"/>
      </w:pPr>
    </w:lvl>
    <w:lvl w:ilvl="4" w:tplc="E9445D12" w:tentative="1">
      <w:start w:val="1"/>
      <w:numFmt w:val="lowerLetter"/>
      <w:lvlText w:val="%5."/>
      <w:lvlJc w:val="left"/>
      <w:pPr>
        <w:ind w:left="3600" w:hanging="360"/>
      </w:pPr>
    </w:lvl>
    <w:lvl w:ilvl="5" w:tplc="FAE23F5C" w:tentative="1">
      <w:start w:val="1"/>
      <w:numFmt w:val="lowerRoman"/>
      <w:lvlText w:val="%6."/>
      <w:lvlJc w:val="right"/>
      <w:pPr>
        <w:ind w:left="4320" w:hanging="180"/>
      </w:pPr>
    </w:lvl>
    <w:lvl w:ilvl="6" w:tplc="27A697B2" w:tentative="1">
      <w:start w:val="1"/>
      <w:numFmt w:val="decimal"/>
      <w:lvlText w:val="%7."/>
      <w:lvlJc w:val="left"/>
      <w:pPr>
        <w:ind w:left="5040" w:hanging="360"/>
      </w:pPr>
    </w:lvl>
    <w:lvl w:ilvl="7" w:tplc="0F7A2D5E" w:tentative="1">
      <w:start w:val="1"/>
      <w:numFmt w:val="lowerLetter"/>
      <w:lvlText w:val="%8."/>
      <w:lvlJc w:val="left"/>
      <w:pPr>
        <w:ind w:left="5760" w:hanging="360"/>
      </w:pPr>
    </w:lvl>
    <w:lvl w:ilvl="8" w:tplc="E4DE9B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D7E55B4"/>
    <w:lvl w:ilvl="0" w:tplc="589A6194">
      <w:start w:val="1"/>
      <w:numFmt w:val="lowerRoman"/>
      <w:lvlText w:val="%1."/>
      <w:lvlJc w:val="right"/>
      <w:pPr>
        <w:ind w:left="1440" w:hanging="360"/>
      </w:pPr>
    </w:lvl>
    <w:lvl w:ilvl="1" w:tplc="C752180A" w:tentative="1">
      <w:start w:val="1"/>
      <w:numFmt w:val="lowerLetter"/>
      <w:lvlText w:val="%2."/>
      <w:lvlJc w:val="left"/>
      <w:pPr>
        <w:ind w:left="2160" w:hanging="360"/>
      </w:pPr>
    </w:lvl>
    <w:lvl w:ilvl="2" w:tplc="BCA0B67A" w:tentative="1">
      <w:start w:val="1"/>
      <w:numFmt w:val="lowerRoman"/>
      <w:lvlText w:val="%3."/>
      <w:lvlJc w:val="right"/>
      <w:pPr>
        <w:ind w:left="2880" w:hanging="180"/>
      </w:pPr>
    </w:lvl>
    <w:lvl w:ilvl="3" w:tplc="0BCAC43E" w:tentative="1">
      <w:start w:val="1"/>
      <w:numFmt w:val="decimal"/>
      <w:lvlText w:val="%4."/>
      <w:lvlJc w:val="left"/>
      <w:pPr>
        <w:ind w:left="3600" w:hanging="360"/>
      </w:pPr>
    </w:lvl>
    <w:lvl w:ilvl="4" w:tplc="F8EC2504" w:tentative="1">
      <w:start w:val="1"/>
      <w:numFmt w:val="lowerLetter"/>
      <w:lvlText w:val="%5."/>
      <w:lvlJc w:val="left"/>
      <w:pPr>
        <w:ind w:left="4320" w:hanging="360"/>
      </w:pPr>
    </w:lvl>
    <w:lvl w:ilvl="5" w:tplc="8C2C1372" w:tentative="1">
      <w:start w:val="1"/>
      <w:numFmt w:val="lowerRoman"/>
      <w:lvlText w:val="%6."/>
      <w:lvlJc w:val="right"/>
      <w:pPr>
        <w:ind w:left="5040" w:hanging="180"/>
      </w:pPr>
    </w:lvl>
    <w:lvl w:ilvl="6" w:tplc="7280F6EC" w:tentative="1">
      <w:start w:val="1"/>
      <w:numFmt w:val="decimal"/>
      <w:lvlText w:val="%7."/>
      <w:lvlJc w:val="left"/>
      <w:pPr>
        <w:ind w:left="5760" w:hanging="360"/>
      </w:pPr>
    </w:lvl>
    <w:lvl w:ilvl="7" w:tplc="42B46764" w:tentative="1">
      <w:start w:val="1"/>
      <w:numFmt w:val="lowerLetter"/>
      <w:lvlText w:val="%8."/>
      <w:lvlJc w:val="left"/>
      <w:pPr>
        <w:ind w:left="6480" w:hanging="360"/>
      </w:pPr>
    </w:lvl>
    <w:lvl w:ilvl="8" w:tplc="BF6C2B1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FBF454A8"/>
    <w:lvl w:ilvl="0" w:tplc="AD32C80E">
      <w:start w:val="1"/>
      <w:numFmt w:val="lowerLetter"/>
      <w:lvlText w:val="%1)"/>
      <w:lvlJc w:val="left"/>
      <w:pPr>
        <w:ind w:left="720" w:hanging="360"/>
      </w:pPr>
    </w:lvl>
    <w:lvl w:ilvl="1" w:tplc="77F802D8" w:tentative="1">
      <w:start w:val="1"/>
      <w:numFmt w:val="lowerLetter"/>
      <w:lvlText w:val="%2."/>
      <w:lvlJc w:val="left"/>
      <w:pPr>
        <w:ind w:left="1440" w:hanging="360"/>
      </w:pPr>
    </w:lvl>
    <w:lvl w:ilvl="2" w:tplc="6960F5F8" w:tentative="1">
      <w:start w:val="1"/>
      <w:numFmt w:val="lowerRoman"/>
      <w:lvlText w:val="%3."/>
      <w:lvlJc w:val="right"/>
      <w:pPr>
        <w:ind w:left="2160" w:hanging="180"/>
      </w:pPr>
    </w:lvl>
    <w:lvl w:ilvl="3" w:tplc="DB0A8E40" w:tentative="1">
      <w:start w:val="1"/>
      <w:numFmt w:val="decimal"/>
      <w:lvlText w:val="%4."/>
      <w:lvlJc w:val="left"/>
      <w:pPr>
        <w:ind w:left="2880" w:hanging="360"/>
      </w:pPr>
    </w:lvl>
    <w:lvl w:ilvl="4" w:tplc="D83E3B30" w:tentative="1">
      <w:start w:val="1"/>
      <w:numFmt w:val="lowerLetter"/>
      <w:lvlText w:val="%5."/>
      <w:lvlJc w:val="left"/>
      <w:pPr>
        <w:ind w:left="3600" w:hanging="360"/>
      </w:pPr>
    </w:lvl>
    <w:lvl w:ilvl="5" w:tplc="11E261AE" w:tentative="1">
      <w:start w:val="1"/>
      <w:numFmt w:val="lowerRoman"/>
      <w:lvlText w:val="%6."/>
      <w:lvlJc w:val="right"/>
      <w:pPr>
        <w:ind w:left="4320" w:hanging="180"/>
      </w:pPr>
    </w:lvl>
    <w:lvl w:ilvl="6" w:tplc="BDAE67AA" w:tentative="1">
      <w:start w:val="1"/>
      <w:numFmt w:val="decimal"/>
      <w:lvlText w:val="%7."/>
      <w:lvlJc w:val="left"/>
      <w:pPr>
        <w:ind w:left="5040" w:hanging="360"/>
      </w:pPr>
    </w:lvl>
    <w:lvl w:ilvl="7" w:tplc="6ECADEBA" w:tentative="1">
      <w:start w:val="1"/>
      <w:numFmt w:val="lowerLetter"/>
      <w:lvlText w:val="%8."/>
      <w:lvlJc w:val="left"/>
      <w:pPr>
        <w:ind w:left="5760" w:hanging="360"/>
      </w:pPr>
    </w:lvl>
    <w:lvl w:ilvl="8" w:tplc="44D040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5BA7392"/>
    <w:lvl w:ilvl="0" w:tplc="6B02BABE">
      <w:start w:val="1"/>
      <w:numFmt w:val="upperRoman"/>
      <w:lvlText w:val="%1."/>
      <w:lvlJc w:val="right"/>
      <w:pPr>
        <w:ind w:left="720" w:hanging="360"/>
      </w:pPr>
    </w:lvl>
    <w:lvl w:ilvl="1" w:tplc="BD5AA9B4" w:tentative="1">
      <w:start w:val="1"/>
      <w:numFmt w:val="lowerLetter"/>
      <w:lvlText w:val="%2."/>
      <w:lvlJc w:val="left"/>
      <w:pPr>
        <w:ind w:left="1440" w:hanging="360"/>
      </w:pPr>
    </w:lvl>
    <w:lvl w:ilvl="2" w:tplc="EF4CDB8C" w:tentative="1">
      <w:start w:val="1"/>
      <w:numFmt w:val="lowerRoman"/>
      <w:lvlText w:val="%3."/>
      <w:lvlJc w:val="right"/>
      <w:pPr>
        <w:ind w:left="2160" w:hanging="180"/>
      </w:pPr>
    </w:lvl>
    <w:lvl w:ilvl="3" w:tplc="0CC0799E" w:tentative="1">
      <w:start w:val="1"/>
      <w:numFmt w:val="decimal"/>
      <w:lvlText w:val="%4."/>
      <w:lvlJc w:val="left"/>
      <w:pPr>
        <w:ind w:left="2880" w:hanging="360"/>
      </w:pPr>
    </w:lvl>
    <w:lvl w:ilvl="4" w:tplc="15887122" w:tentative="1">
      <w:start w:val="1"/>
      <w:numFmt w:val="lowerLetter"/>
      <w:lvlText w:val="%5."/>
      <w:lvlJc w:val="left"/>
      <w:pPr>
        <w:ind w:left="3600" w:hanging="360"/>
      </w:pPr>
    </w:lvl>
    <w:lvl w:ilvl="5" w:tplc="941C91DC" w:tentative="1">
      <w:start w:val="1"/>
      <w:numFmt w:val="lowerRoman"/>
      <w:lvlText w:val="%6."/>
      <w:lvlJc w:val="right"/>
      <w:pPr>
        <w:ind w:left="4320" w:hanging="180"/>
      </w:pPr>
    </w:lvl>
    <w:lvl w:ilvl="6" w:tplc="2A6497BE" w:tentative="1">
      <w:start w:val="1"/>
      <w:numFmt w:val="decimal"/>
      <w:lvlText w:val="%7."/>
      <w:lvlJc w:val="left"/>
      <w:pPr>
        <w:ind w:left="5040" w:hanging="360"/>
      </w:pPr>
    </w:lvl>
    <w:lvl w:ilvl="7" w:tplc="C8086EB4" w:tentative="1">
      <w:start w:val="1"/>
      <w:numFmt w:val="lowerLetter"/>
      <w:lvlText w:val="%8."/>
      <w:lvlJc w:val="left"/>
      <w:pPr>
        <w:ind w:left="5760" w:hanging="360"/>
      </w:pPr>
    </w:lvl>
    <w:lvl w:ilvl="8" w:tplc="662E52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4501D4A"/>
    <w:lvl w:ilvl="0" w:tplc="62BADD3C">
      <w:start w:val="1"/>
      <w:numFmt w:val="upperRoman"/>
      <w:lvlText w:val="%1."/>
      <w:lvlJc w:val="right"/>
      <w:pPr>
        <w:ind w:left="720" w:hanging="360"/>
      </w:pPr>
    </w:lvl>
    <w:lvl w:ilvl="1" w:tplc="C1BAAA54" w:tentative="1">
      <w:start w:val="1"/>
      <w:numFmt w:val="lowerLetter"/>
      <w:lvlText w:val="%2."/>
      <w:lvlJc w:val="left"/>
      <w:pPr>
        <w:ind w:left="1440" w:hanging="360"/>
      </w:pPr>
    </w:lvl>
    <w:lvl w:ilvl="2" w:tplc="DD78ED5C" w:tentative="1">
      <w:start w:val="1"/>
      <w:numFmt w:val="lowerRoman"/>
      <w:lvlText w:val="%3."/>
      <w:lvlJc w:val="right"/>
      <w:pPr>
        <w:ind w:left="2160" w:hanging="180"/>
      </w:pPr>
    </w:lvl>
    <w:lvl w:ilvl="3" w:tplc="73A2877C" w:tentative="1">
      <w:start w:val="1"/>
      <w:numFmt w:val="decimal"/>
      <w:lvlText w:val="%4."/>
      <w:lvlJc w:val="left"/>
      <w:pPr>
        <w:ind w:left="2880" w:hanging="360"/>
      </w:pPr>
    </w:lvl>
    <w:lvl w:ilvl="4" w:tplc="127EC85E" w:tentative="1">
      <w:start w:val="1"/>
      <w:numFmt w:val="lowerLetter"/>
      <w:lvlText w:val="%5."/>
      <w:lvlJc w:val="left"/>
      <w:pPr>
        <w:ind w:left="3600" w:hanging="360"/>
      </w:pPr>
    </w:lvl>
    <w:lvl w:ilvl="5" w:tplc="69F0779C" w:tentative="1">
      <w:start w:val="1"/>
      <w:numFmt w:val="lowerRoman"/>
      <w:lvlText w:val="%6."/>
      <w:lvlJc w:val="right"/>
      <w:pPr>
        <w:ind w:left="4320" w:hanging="180"/>
      </w:pPr>
    </w:lvl>
    <w:lvl w:ilvl="6" w:tplc="F87EC290" w:tentative="1">
      <w:start w:val="1"/>
      <w:numFmt w:val="decimal"/>
      <w:lvlText w:val="%7."/>
      <w:lvlJc w:val="left"/>
      <w:pPr>
        <w:ind w:left="5040" w:hanging="360"/>
      </w:pPr>
    </w:lvl>
    <w:lvl w:ilvl="7" w:tplc="9D08D828" w:tentative="1">
      <w:start w:val="1"/>
      <w:numFmt w:val="lowerLetter"/>
      <w:lvlText w:val="%8."/>
      <w:lvlJc w:val="left"/>
      <w:pPr>
        <w:ind w:left="5760" w:hanging="360"/>
      </w:pPr>
    </w:lvl>
    <w:lvl w:ilvl="8" w:tplc="EDD6F1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B401E06"/>
    <w:lvl w:ilvl="0" w:tplc="729EA192">
      <w:start w:val="1"/>
      <w:numFmt w:val="upperRoman"/>
      <w:lvlText w:val="%1."/>
      <w:lvlJc w:val="right"/>
      <w:pPr>
        <w:ind w:left="720" w:hanging="360"/>
      </w:pPr>
    </w:lvl>
    <w:lvl w:ilvl="1" w:tplc="C706DCD8" w:tentative="1">
      <w:start w:val="1"/>
      <w:numFmt w:val="lowerLetter"/>
      <w:lvlText w:val="%2."/>
      <w:lvlJc w:val="left"/>
      <w:pPr>
        <w:ind w:left="1440" w:hanging="360"/>
      </w:pPr>
    </w:lvl>
    <w:lvl w:ilvl="2" w:tplc="01E4CB70" w:tentative="1">
      <w:start w:val="1"/>
      <w:numFmt w:val="lowerRoman"/>
      <w:lvlText w:val="%3."/>
      <w:lvlJc w:val="right"/>
      <w:pPr>
        <w:ind w:left="2160" w:hanging="180"/>
      </w:pPr>
    </w:lvl>
    <w:lvl w:ilvl="3" w:tplc="469C1AF4" w:tentative="1">
      <w:start w:val="1"/>
      <w:numFmt w:val="decimal"/>
      <w:lvlText w:val="%4."/>
      <w:lvlJc w:val="left"/>
      <w:pPr>
        <w:ind w:left="2880" w:hanging="360"/>
      </w:pPr>
    </w:lvl>
    <w:lvl w:ilvl="4" w:tplc="598EF14A" w:tentative="1">
      <w:start w:val="1"/>
      <w:numFmt w:val="lowerLetter"/>
      <w:lvlText w:val="%5."/>
      <w:lvlJc w:val="left"/>
      <w:pPr>
        <w:ind w:left="3600" w:hanging="360"/>
      </w:pPr>
    </w:lvl>
    <w:lvl w:ilvl="5" w:tplc="4C9A1AA8" w:tentative="1">
      <w:start w:val="1"/>
      <w:numFmt w:val="lowerRoman"/>
      <w:lvlText w:val="%6."/>
      <w:lvlJc w:val="right"/>
      <w:pPr>
        <w:ind w:left="4320" w:hanging="180"/>
      </w:pPr>
    </w:lvl>
    <w:lvl w:ilvl="6" w:tplc="16865EFA" w:tentative="1">
      <w:start w:val="1"/>
      <w:numFmt w:val="decimal"/>
      <w:lvlText w:val="%7."/>
      <w:lvlJc w:val="left"/>
      <w:pPr>
        <w:ind w:left="5040" w:hanging="360"/>
      </w:pPr>
    </w:lvl>
    <w:lvl w:ilvl="7" w:tplc="2BBC3FB6" w:tentative="1">
      <w:start w:val="1"/>
      <w:numFmt w:val="lowerLetter"/>
      <w:lvlText w:val="%8."/>
      <w:lvlJc w:val="left"/>
      <w:pPr>
        <w:ind w:left="5760" w:hanging="360"/>
      </w:pPr>
    </w:lvl>
    <w:lvl w:ilvl="8" w:tplc="83606A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1181</Words>
  <Pages>7</Pages>
  <Characters>6731</Characters>
  <Application>WPS Office</Application>
  <DocSecurity>0</DocSecurity>
  <Paragraphs>85</Paragraphs>
  <ScaleCrop>false</ScaleCrop>
  <Company>Grizli777</Company>
  <LinksUpToDate>false</LinksUpToDate>
  <CharactersWithSpaces>7870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2021-03-23T08:52:31Z</dcterms:created>
  <dc:creator>maKdamyn</dc:creator>
  <lastModifiedBy>A5_Pro</lastModifiedBy>
  <dcterms:modified xsi:type="dcterms:W3CDTF">2021-03-23T08:52:32Z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