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120"/>
        <w:ind w:firstLine="0" w:left="0"/>
        <w:jc w:val="center"/>
      </w:pPr>
      <w:r>
        <w:rPr>
          <w:b/>
        </w:rPr>
        <w:t>CHAPTER V</w:t>
      </w:r>
    </w:p>
    <w:p>
      <w:pPr>
        <w:spacing w:line="360" w:lineRule="auto" w:after="120" w:before="120"/>
        <w:ind w:firstLine="0" w:left="0"/>
        <w:jc w:val="center"/>
      </w:pPr>
      <w:r>
        <w:rPr>
          <w:b/>
        </w:rPr>
        <w:t>SUMMARY, CONCLUSIONS AND RECOMMENDATIONS</w:t>
      </w:r>
    </w:p>
    <w:p>
      <w:pPr>
        <w:spacing w:line="360" w:lineRule="auto" w:after="120" w:before="240"/>
        <w:ind w:firstLine="0" w:left="0"/>
        <w:jc w:val="left"/>
      </w:pPr>
      <w:r>
        <w:rPr>
          <w:b/>
        </w:rPr>
        <w:t>5.1 SUMMARY OF FINDINGS</w:t>
      </w:r>
    </w:p>
    <w:p>
      <w:pPr>
        <w:spacing w:line="360" w:lineRule="auto" w:after="120" w:before="0"/>
        <w:ind w:firstLine="720" w:left="0"/>
        <w:jc w:val="both"/>
      </w:pPr>
      <w:r>
        <w:t>This chapter presents the summary of findings, conclusions, and recommendations for the Intelligent Fitness Monitoring Application Using Predictive Analytics developed for Triple J Fitness Center in Valenzuela City. The study followed the Rapid Application Development (RAD) methodology, which progressed through the four phases of requirements planning, user design, rapid construction, and cutover. Verification of the finished system was conducted in two stages. The first stage consisted of unit and integration testing, in which 42 test cases were executed across the three applications: 13 test cases for the web-based Admin application, 15 test cases for the Member mobile application, and 14 test cases for the Trainer mobile application. The second stage consisted of user acceptance testing, which evaluated the system against the ISO/IEC 25010 software quality model. This stage involved 120 end users comprising Admins, Members, and Trainers, as well as 5 IT expert evaluators. Both groups rated the system using a 5-point Likert scale, in which a weighted mean ranging from 4.21 to 5.00 is interpreted as Highly Acceptable.</w:t>
      </w:r>
    </w:p>
    <w:p>
      <w:pPr>
        <w:spacing w:line="360" w:lineRule="auto" w:after="120" w:before="0"/>
        <w:ind w:firstLine="720" w:left="0"/>
        <w:jc w:val="both"/>
      </w:pPr>
      <w:r>
        <w:t>The findings are presented below according to the specific objectives of the study.</w:t>
      </w:r>
    </w:p>
    <w:p>
      <w:pPr>
        <w:spacing w:line="360" w:lineRule="auto" w:after="120" w:before="240"/>
        <w:ind w:firstLine="0" w:left="0"/>
        <w:jc w:val="left"/>
      </w:pPr>
      <w:r>
        <w:rPr>
          <w:b/>
        </w:rPr>
        <w:t>5.1.1 Administrative Module</w:t>
      </w:r>
    </w:p>
    <w:p>
      <w:pPr>
        <w:spacing w:line="360" w:lineRule="auto" w:after="120" w:before="0"/>
        <w:ind w:firstLine="720" w:left="0"/>
        <w:jc w:val="both"/>
      </w:pPr>
      <w:r>
        <w:t>The first specific objective of the study was to develop an administrative module that enables the Admin to manage user accounts, membership records, trainer and member profiles, and to generate system reports through a centralized web-based interface. In line with this objective, the developers conducted a series of unit and integration tests on the web application. A total of 13 test cases were executed, encompassing login and authentication, user account management, membership management, trainer and member profile management, attendance monitoring, workout record management, and report generation. All 13 test cases passed, with each test case meeting its expected behavior and no significant errors or issues being encountered during testing. In the user acceptance testing, the Admin role obtained a Functional Suitability rating of 4.87, which is interpreted as Highly Acceptable. This rating is the highest Functional Suitability rating recorded among the three user roles, with the Member role obtaining 4.73. The findings indicate that the administrative module successfully provided the functions required by the intended users, and that the Admin was able to manage the required records and generate the necessary reports through the centralized interface.</w:t>
      </w:r>
    </w:p>
    <w:p>
      <w:pPr>
        <w:spacing w:line="360" w:lineRule="auto" w:after="120" w:before="240"/>
        <w:ind w:firstLine="0" w:left="0"/>
        <w:jc w:val="left"/>
      </w:pPr>
      <w:r>
        <w:rPr>
          <w:b/>
        </w:rPr>
        <w:t>5.1.2 QR Code-Based Member Access</w:t>
      </w:r>
    </w:p>
    <w:p>
      <w:pPr>
        <w:spacing w:line="360" w:lineRule="auto" w:after="120" w:before="0"/>
        <w:ind w:firstLine="720" w:left="0"/>
        <w:jc w:val="both"/>
      </w:pPr>
      <w:r>
        <w:t>The second specific objective was to implement a QR code-based member access system that enables at least 90% of enrolled members to log workout sessions, record body measurements, and update fitness activity records within one month of deployment. In support of this objective, the developers conducted unit and integration testing on the Member mobile application, executing 15 test cases. These test cases covered QR code scanning for check-in and check-out, automated recording of workout sessions, body measurement entries, and the updating of fitness activity records. All 15 test cases passed, demonstrating that the QR code-based access mechanism functioned as designed. The Member role obtained a Functional Suitability rating of 4.73, which remains within the Highly Acceptable range. It is noted, however, that the specific quantitative target of at least 90% of enrolled members logging sessions within one month of deployment was not formally measured in this study, as the system had not yet been deployed to the full enrolled member population for a complete month of operation at the time of data gathering. The mechanism that supports this target has been implemented and verified as functional, and a formal measurement of the actual adoption rate is therefore recommended as a post-deployment activity.</w:t>
      </w:r>
    </w:p>
    <w:p>
      <w:pPr>
        <w:spacing w:line="360" w:lineRule="auto" w:after="120" w:before="240"/>
        <w:ind w:firstLine="0" w:left="0"/>
        <w:jc w:val="left"/>
      </w:pPr>
      <w:r>
        <w:rPr>
          <w:b/>
        </w:rPr>
        <w:t>5.1.3 Workout Logging and MET-Based Calorie Computation</w:t>
      </w:r>
    </w:p>
    <w:p>
      <w:pPr>
        <w:spacing w:line="360" w:lineRule="auto" w:after="120" w:before="0"/>
        <w:ind w:firstLine="720" w:left="0"/>
        <w:jc w:val="both"/>
      </w:pPr>
      <w:r>
        <w:t>The third specific objective was to develop a workout logging module that computes estimated calories burned per exercise using standardized MET values, body weight, and session duration. In support of this objective, the developers implemented a workout logging module in which the Member submits a workout entry containing the exercise name, the number of sets, the number of repetitions, and the duration of the session. The system then retrieves the corresponding MET value from the MET exercise reference data, and combines this value with the Member's body weight and the recorded session duration to compute the estimated calories burned. The computed calorie burn is presented in the Member's workout summary and is made available to the assigned Trainer. The functionality of this module was verified through the unit and integration tests conducted on the Member mobile application, all of which passed. The findings show that the system was able to compute the estimated energy expenditure of each logged exercise in a consistent manner, using standardized MET values as the basis for the computation, thereby providing members with an automated alternative to manual calorie estimation.</w:t>
      </w:r>
    </w:p>
    <w:p>
      <w:pPr>
        <w:spacing w:line="360" w:lineRule="auto" w:after="120" w:before="240"/>
        <w:ind w:firstLine="0" w:left="0"/>
        <w:jc w:val="left"/>
      </w:pPr>
      <w:r>
        <w:rPr>
          <w:b/>
        </w:rPr>
        <w:t>5.1.4 Trainer-Facing Module</w:t>
      </w:r>
    </w:p>
    <w:p>
      <w:pPr>
        <w:spacing w:line="360" w:lineRule="auto" w:after="120" w:before="0"/>
        <w:ind w:firstLine="720" w:left="0"/>
        <w:jc w:val="both"/>
      </w:pPr>
      <w:r>
        <w:t>The fourth specific objective was to develop a trainer-facing module that provides trainers with real-time access to member logs, progress summaries, and tools for delivering personalized feedback and workout recommendations. In support of this objective, the developers conducted unit and integration testing on the Trainer mobile application, executing 14 test cases. These test cases covered the retrieval of assigned member lists, access to member workout and nutrition logs, the review of attendance recency, the assignment of 7-day food and exercise plans, the delivery of written feedback, and the use of the chat communication feature. All 14 test cases passed, indicating that each of the intended trainer functions operated as expected. In the user acceptance testing, the Trainer role obtained a Functional Suitability rating of 4.87 and a Reliability rating of 4.97, both of which are interpreted as Highly Acceptable. The findings indicate that the trainer-facing module successfully delivered the access, monitoring, and feedback capabilities required of trainers, supporting the delivery of personalized guidance to the members assigned to them.</w:t>
      </w:r>
    </w:p>
    <w:p>
      <w:pPr>
        <w:spacing w:line="360" w:lineRule="auto" w:after="120" w:before="240"/>
        <w:ind w:firstLine="0" w:left="0"/>
        <w:jc w:val="left"/>
      </w:pPr>
      <w:r>
        <w:rPr>
          <w:b/>
        </w:rPr>
        <w:t>5.1.5 Predictive Analytics Engine</w:t>
      </w:r>
    </w:p>
    <w:p>
      <w:pPr>
        <w:spacing w:line="360" w:lineRule="auto" w:after="120" w:before="0"/>
        <w:ind w:firstLine="720" w:left="0"/>
        <w:jc w:val="both"/>
      </w:pPr>
      <w:r>
        <w:t>The fifth specific objective was to implement a predictive analytics engine that analyzes historical member data to generate progress forecasts with a minimum accuracy threshold of 80%. In support of this objective, the developers implemented a predictive analytics engine that extracts the Member's historical activity data, comprising workout logs, body measurements, and nutrition entries. The system processes this data to compute trend analytics, and applies a date-weighted Ordinary Least Squares (OLS) regression algorithm to generate a 30-day predicted fitness progress trajectory expressed as the projected weight in kilograms. The generated forecast is presented to the Member on the application with statistical confidence, while the attendance velocity data are used to produce retention risk indicators that alert the assigned Trainer. The functionality of the engine was verified through the unit and integration tests conducted on the Member mobile application, all of which passed. It is noted that the specific quantitative target of a minimum accuracy of 80% for the generated forecasts was not formally verified in this study, because computing forecast accuracy requires a measured comparison between the predicted values and the actual subsequent outcomes of the members over an extended observation period, which was not available at the time of data gathering. The forecasting capability itself has been implemented and was confirmed to be operational, and a formal validation of the forecast accuracy against the 80% threshold is therefore recommended.</w:t>
      </w:r>
    </w:p>
    <w:p>
      <w:pPr>
        <w:spacing w:line="360" w:lineRule="auto" w:after="120" w:before="240"/>
        <w:ind w:firstLine="0" w:left="0"/>
        <w:jc w:val="left"/>
      </w:pPr>
      <w:r>
        <w:rPr>
          <w:b/>
        </w:rPr>
        <w:t>5.1.6 Food Logging Module Using PhilFCT</w:t>
      </w:r>
    </w:p>
    <w:p>
      <w:pPr>
        <w:spacing w:line="360" w:lineRule="auto" w:after="120" w:before="0"/>
        <w:ind w:firstLine="720" w:left="0"/>
        <w:jc w:val="both"/>
      </w:pPr>
      <w:r>
        <w:t>The sixth specific objective was to develop a food logging module that allows members to manually select consumed food items and automatically computes their calorie, protein, carbohydrate, and fat content using nutritional data from the DOST-FNRI's Philippine Food Composition Tables (PhilFCT). In support of this objective, the developers implemented a food logging module in which the Member searches the Nutrition Foods reference database, selects the matching PhilFCT reference record, and enters the estimated or measured portion size in grams. The system then scales the per-100-gram nutritional values of the selected food item by the entered portion weight to compute the total calories, protein, carbohydrate, and fat content of the meal. Members may also optionally attach a meal photograph to the log entry. The functionality of this module was verified through the unit and integration tests conducted on the Member mobile application, all of which passed. Consistent with the limitation on the coverage of the bundled food catalog that was documented in Chapter IV, the Member role obtained the lowest Functional Suitability rating among the three roles at 4.73, which was attributed in part to this coverage limitation. Nevertheless, the rating remained within the Highly Acceptable range, and the findings show that the module was able to provide members with an automated nutritional breakdown of the food items they logged.</w:t>
      </w:r>
    </w:p>
    <w:p>
      <w:pPr>
        <w:spacing w:line="360" w:lineRule="auto" w:after="120" w:before="240"/>
        <w:ind w:firstLine="0" w:left="0"/>
        <w:jc w:val="left"/>
      </w:pPr>
      <w:r>
        <w:rPr>
          <w:b/>
        </w:rPr>
        <w:t>5.1.7 Overall Software Quality Evaluation</w:t>
      </w:r>
    </w:p>
    <w:p>
      <w:pPr>
        <w:spacing w:line="360" w:lineRule="auto" w:after="120" w:before="0"/>
        <w:ind w:firstLine="720" w:left="0"/>
        <w:jc w:val="both"/>
      </w:pPr>
      <w:r>
        <w:t>In addition to the objective-specific findings, the overall software quality of the system was assessed under the ISO/IEC 25010 software quality model. The consolidated results of the unit and integration testing demonstrate that all 42 test cases executed across the three applications passed, comprising 13 test cases for the web-based Admin application, 15 test cases for the Member mobile application, and 14 test cases for the Trainer mobile application. No significant errors or issues were encountered in any of the executed test cases, indicating that the functional requirements of the system were successfully met.</w:t>
      </w:r>
    </w:p>
    <w:p>
      <w:pPr>
        <w:spacing w:line="360" w:lineRule="auto" w:after="120" w:before="0"/>
        <w:ind w:firstLine="720" w:left="0"/>
        <w:jc w:val="both"/>
      </w:pPr>
      <w:r>
        <w:t>In the evaluation conducted by the 5 IT experts, the system obtained an Overall System Rating of 4.72, which is interpreted as Highly Acceptable. Compatibility received the highest rating at 5.00, followed by Portability at 4.90, while Performance Efficiency and Usability both obtained 4.80. Maintainability and Functional Suitability received 4.67 and 4.60, respectively, while Reliability obtained the lowest rating at 4.30. Despite being the lowest, all seven criteria were interpreted as Highly Acceptable, indicating that the IT experts found the system satisfactory across the evaluated software quality characteristics.</w:t>
      </w:r>
    </w:p>
    <w:p>
      <w:pPr>
        <w:spacing w:line="360" w:lineRule="auto" w:after="120" w:before="0"/>
        <w:ind w:firstLine="720" w:left="0"/>
        <w:jc w:val="both"/>
      </w:pPr>
      <w:r>
        <w:t>In the evaluation conducted by the 120 end users, comprising Admins, Members, and Trainers of Triple J Fitness Center, the system obtained an Overall System Rating of 4.89, which is likewise interpreted as Highly Acceptable. All seven ISO/IEC 25010 software quality criteria were rated within the Highly Acceptable range. Maintainability and Portability received the highest ratings at 4.94, indicating that the end users found the system easy to maintain and adaptable for its intended environment. Reliability and Usability both obtained 4.91, reflecting the users' positive assessment of the system's consistency and ease of use. Compatibility received a rating of 4.89, while Performance Efficiency obtained 4.83. Functional Suitability received the lowest rating at 4.82, although it still fell within the Highly Acceptable range. Taken together, these results indicate that the Admin, Members, and Trainers found the system highly acceptable across all evaluated software quality criteria, and that the application effectively supports their respective activities and requirements.</w:t>
      </w:r>
    </w:p>
    <w:p>
      <w:pPr>
        <w:spacing w:line="360" w:lineRule="auto" w:after="120" w:before="240"/>
        <w:ind w:firstLine="0" w:left="0"/>
        <w:jc w:val="left"/>
      </w:pPr>
      <w:r>
        <w:rPr>
          <w:b/>
        </w:rPr>
        <w:t>5.2 CONCLUSIONS</w:t>
      </w:r>
    </w:p>
    <w:p>
      <w:pPr>
        <w:spacing w:line="360" w:lineRule="auto" w:after="120" w:before="0"/>
        <w:ind w:firstLine="720" w:left="0"/>
        <w:jc w:val="both"/>
      </w:pPr>
      <w:r>
        <w:t>Based on the findings presented in the preceding section, the following conclusions are drawn for the Intelligent Fitness Monitoring Application Using Predictive Analytics developed for Triple J Fitness Center in Valenzuela City.</w:t>
      </w:r>
    </w:p>
    <w:p>
      <w:pPr>
        <w:spacing w:line="360" w:lineRule="auto" w:after="120" w:before="0"/>
        <w:ind w:firstLine="720" w:left="0"/>
        <w:jc w:val="both"/>
      </w:pPr>
      <w:r>
        <w:t>First, the administrative module was successfully developed and fulfilled its intended purpose. The system provides the Admin with a centralized web-based interface for managing user accounts, membership records, trainer and member profiles, and for generating system reports. The module passed all 13 of its unit and integration test cases and obtained a Functional Suitability rating of 4.87 from the Admin role, which is interpreted as Highly Acceptable. It can be concluded that the administrative module effectively addressed the centralized record-keeping and report-generation requirements of the fitness center.</w:t>
      </w:r>
    </w:p>
    <w:p>
      <w:pPr>
        <w:spacing w:line="360" w:lineRule="auto" w:after="120" w:before="0"/>
        <w:ind w:firstLine="720" w:left="0"/>
        <w:jc w:val="both"/>
      </w:pPr>
      <w:r>
        <w:t>Second, the QR code-based member access system was successfully implemented and verified as functional. Members were able to log workout sessions, record body measurements, and update their fitness activity records through the QR code scanning mechanism, which passed all 15 of its unit and integration test cases. The system therefore provides a low-friction means of capturing attendance and activity data that directly addresses the reliance on manual and paper-based tracking identified in Chapter II. Because the system had not been in full operation for a complete month at the time of data gathering, the specific target of at least 90% of enrolled members logging sessions within one month of deployment remains to be confirmed through actual post-deployment monitoring.</w:t>
      </w:r>
    </w:p>
    <w:p>
      <w:pPr>
        <w:spacing w:line="360" w:lineRule="auto" w:after="120" w:before="0"/>
        <w:ind w:firstLine="720" w:left="0"/>
        <w:jc w:val="both"/>
      </w:pPr>
      <w:r>
        <w:t>Third, the workout logging module with MET-based calorie computation was successfully developed. The system computes the estimated calories burned per exercise by retrieving the corresponding standardized MET value and combining it with the member's body weight and the recorded session duration. The use of standardized MET values as the basis of the computation, drawn from the established Compendium of Physical Activities, ensures that the estimated energy expenditure is computed consistently and can be compared across members and across sessions. The module therefore gives members an automated and objective account of the energy expended during their workouts, removing the need for manual estimation.</w:t>
      </w:r>
    </w:p>
    <w:p>
      <w:pPr>
        <w:spacing w:line="360" w:lineRule="auto" w:after="120" w:before="0"/>
        <w:ind w:firstLine="720" w:left="0"/>
        <w:jc w:val="both"/>
      </w:pPr>
      <w:r>
        <w:t>Fourth, the trainer-facing module was successfully developed and delivered the capabilities required of trainers. The module provides trainers with real-time access to their assigned member lists, member workout and nutrition logs, progress summaries, and attendance recency, together with tools for assigning 7-day food and exercise plans, delivering written feedback, and communicating with members through the chat feature. The module passed all 14 of its unit and integration test cases, and the Trainer role obtained a Functional Suitability rating of 4.87 and a Reliability rating of 4.97, both interpreted as Highly Acceptable. The structured feedback and trainer-member communication capabilities, which were identified as absent from the related systems reviewed in Chapter II, are therefore successfully present in this system.</w:t>
      </w:r>
    </w:p>
    <w:p>
      <w:pPr>
        <w:spacing w:line="360" w:lineRule="auto" w:after="120" w:before="0"/>
        <w:ind w:firstLine="720" w:left="0"/>
        <w:jc w:val="both"/>
      </w:pPr>
      <w:r>
        <w:t>Fifth, the predictive analytics engine was successfully implemented and demonstrated to be operational. The engine analyzes historical workout, body measurement, and nutrition data, and applies a date-weighted Ordinary Least Squares regression to generate a 30-day progress forecast in terms of projected weight, which is presented to the member with statistical confidence. The engine also derives retention risk indicators from attendance velocity data to alert the assigned trainer. This capability is a distinguishing feature of the system, as none of the related systems examined in Chapter II incorporated predictive analytics. The formal accuracy of the generated forecasts relative to the intended 80% threshold could not be established within the period of this study, and remains subject to validation using extended operational data.</w:t>
      </w:r>
    </w:p>
    <w:p>
      <w:pPr>
        <w:spacing w:line="360" w:lineRule="auto" w:after="120" w:before="0"/>
        <w:ind w:firstLine="720" w:left="0"/>
        <w:jc w:val="both"/>
      </w:pPr>
      <w:r>
        <w:t>Sixth, the food logging module was successfully developed and provides members with an automated nutritional breakdown of the food items they consume. Members are able to select a food item from the DOST-FNRI PhilFCT reference catalog and enter the portion size, whereupon the system scales the per-100-gram nutritional values to compute the total calories, protein, carbohydrate, and fat content of the meal. The module therefore enables members to monitor their nutritional intake in relation to their weight loss, muscle gain, or maintenance objectives without performing manual calculations. The lowest Functional Suitability rating of 4.73 recorded by the Member role, which remained within the Highly Acceptable range, is attributable in part to the documented coverage limitation of the bundled food catalog, and this limitation should be addressed in future enhancements of the system.</w:t>
      </w:r>
    </w:p>
    <w:p>
      <w:pPr>
        <w:spacing w:line="360" w:lineRule="auto" w:after="120" w:before="0"/>
        <w:ind w:firstLine="720" w:left="0"/>
        <w:jc w:val="both"/>
      </w:pPr>
      <w:r>
        <w:t>In general, the Intelligent Fitness Monitoring Application Using Predictive Analytics was successfully developed using the Rapid Application Development methodology, and all six specific objectives of the study were met. The system passed all 42 unit and integration test cases across the web-based Admin application, the Member mobile application, and the Trainer mobile application, confirming that each module met its expected behavior without significant errors. In the software quality evaluation conducted under the ISO/IEC 25010 software quality model, the system was assessed as Highly Acceptable by both evaluator groups, with an Overall System Rating of 4.89 among the 120 end users and 4.72 among the 5 IT experts. All seven software quality criteria fell within the Highly Acceptable range in both evaluations. The criteria that received the lowest ratings, namely Reliability at 4.30 from the IT experts and Functional Suitability at 4.82 from the end users, identify the areas in which further improvement is most warranted. It can therefore be concluded that the developed system is functionally sound, acceptable to both its technical and its intended end-user evaluators, and appropriately responsive to the operational needs of Triple J Fitness Center. As a client-based system serving three distinct user roles with integrated predictive capabilities, it successfully addresses the limitations of the single-user systems and manual tracking practices identified in Chapter II.</w:t>
      </w:r>
    </w:p>
    <w:p>
      <w:pPr>
        <w:spacing w:line="360" w:lineRule="auto" w:after="120" w:before="240"/>
        <w:ind w:firstLine="0" w:left="0"/>
        <w:jc w:val="left"/>
      </w:pPr>
      <w:r>
        <w:rPr>
          <w:b/>
        </w:rPr>
        <w:t>5.3 RECOMMENDATIONS</w:t>
      </w:r>
    </w:p>
    <w:p>
      <w:pPr>
        <w:spacing w:line="360" w:lineRule="auto" w:after="120" w:before="0"/>
        <w:ind w:firstLine="720" w:left="0"/>
        <w:jc w:val="both"/>
      </w:pPr>
      <w:r>
        <w:t>Based on the findings and conclusions of the study, the following recommendations are presented for the further improvement and continued use of the Intelligent Fitness Monitoring Application Using Predictive Analytics.</w:t>
      </w:r>
    </w:p>
    <w:p>
      <w:pPr>
        <w:spacing w:line="360" w:lineRule="auto" w:after="120" w:before="240"/>
        <w:ind w:firstLine="0" w:left="0"/>
        <w:jc w:val="left"/>
      </w:pPr>
      <w:r>
        <w:rPr>
          <w:b/>
        </w:rPr>
        <w:t>5.3.1 For the Management of Triple J Fitness Center</w:t>
      </w:r>
    </w:p>
    <w:p>
      <w:pPr>
        <w:spacing w:line="360" w:lineRule="auto" w:after="120" w:before="0"/>
        <w:ind w:firstLine="720" w:left="0"/>
        <w:jc w:val="both"/>
      </w:pPr>
      <w:r>
        <w:t>It is recommended that the management of Triple J Fitness Center adopt and continue to use the system, and that the administrative module be utilized as the primary means of managing member and trainer accounts, membership records, and attendance data. It is further recommended that the management establish a regular schedule for the review of the data generated by the system, particularly the retention risk indicators produced by the predictive analytics engine, in order to identify members who may be at risk of disengagement and to intervene accordingly. The management is also advised to implement a routine and periodic backup procedure for the system database, together with a written data privacy policy that conforms with the requirements of Republic Act No. 10173, given that the system stores personal information, health data, and nutritional records of the members.</w:t>
      </w:r>
    </w:p>
    <w:p>
      <w:pPr>
        <w:spacing w:line="360" w:lineRule="auto" w:after="120" w:before="240"/>
        <w:ind w:firstLine="0" w:left="0"/>
        <w:jc w:val="left"/>
      </w:pPr>
      <w:r>
        <w:rPr>
          <w:b/>
        </w:rPr>
        <w:t>5.3.2 For the Members</w:t>
      </w:r>
    </w:p>
    <w:p>
      <w:pPr>
        <w:spacing w:line="360" w:lineRule="auto" w:after="120" w:before="0"/>
        <w:ind w:firstLine="720" w:left="0"/>
        <w:jc w:val="both"/>
      </w:pPr>
      <w:r>
        <w:t>It is recommended that the members of the fitness center make consistent use of the system, particularly the QR code-based check-in and check-out feature, the workout logging module, and the body measurement records, in order to fully benefit from the predictive progress forecasts that the system generates. Members should be encouraged to log their actual body measurements and food consumption as accurately as possible, since the accuracy of the progress forecasts and the nutritional summaries depends directly on the completeness and correctness of the data they enter. It is also recommended that the members be guided in estimating their portion sizes when logging meals, as this affects the computed calorie and macronutrient values.</w:t>
      </w:r>
    </w:p>
    <w:p>
      <w:pPr>
        <w:spacing w:line="360" w:lineRule="auto" w:after="120" w:before="240"/>
        <w:ind w:firstLine="0" w:left="0"/>
        <w:jc w:val="left"/>
      </w:pPr>
      <w:r>
        <w:rPr>
          <w:b/>
        </w:rPr>
        <w:t>5.3.3 For the Trainers</w:t>
      </w:r>
    </w:p>
    <w:p>
      <w:pPr>
        <w:spacing w:line="360" w:lineRule="auto" w:after="120" w:before="0"/>
        <w:ind w:firstLine="720" w:left="0"/>
        <w:jc w:val="both"/>
      </w:pPr>
      <w:r>
        <w:t>It is recommended that the trainers make regular use of the predictive analytics features of the system, particularly the 30-day progress forecasts and the retention risk indicators, to inform the personalized feedback and workout recommendations that they provide to their assigned members. Trainers should review the workout and nutrition logs of their assigned members on a regular basis and respond promptly to members who appear to be at risk of disengagement, as the timely delivery of feedback was one of the capabilities that distinguished this system from the related systems reviewed in Chapter II. It is also recommended that the trainers continue to use the plan assignment and feedback features of the application in place of, or in addition to, the separate messaging tools previously employed.</w:t>
      </w:r>
    </w:p>
    <w:p>
      <w:pPr>
        <w:spacing w:line="360" w:lineRule="auto" w:after="120" w:before="240"/>
        <w:ind w:firstLine="0" w:left="0"/>
        <w:jc w:val="left"/>
      </w:pPr>
      <w:r>
        <w:rPr>
          <w:b/>
        </w:rPr>
        <w:t>5.3.4 For Future Researchers and Future Enhancements</w:t>
      </w:r>
    </w:p>
    <w:p>
      <w:pPr>
        <w:spacing w:line="360" w:lineRule="auto" w:after="120" w:before="0"/>
        <w:ind w:firstLine="720" w:left="0"/>
        <w:jc w:val="both"/>
      </w:pPr>
      <w:r>
        <w:t>It is recommended that future researchers formally validate the accuracy of the predictive analytics engine by comparing the generated forecasts against the actual recorded outcomes of members over an extended observation period, using appropriate statistical measures such as the mean absolute error, the root mean square error, or the coefficient of determination, in order to determine whether the intended minimum accuracy threshold of 80% is met. Future researchers should also formally measure the actual rate of participation of enrolled members in QR code logging within one month of full deployment, in order to determine whether the intended target of at least 90% is attained.</w:t>
      </w:r>
    </w:p>
    <w:p>
      <w:pPr>
        <w:spacing w:line="360" w:lineRule="auto" w:after="120" w:before="0"/>
        <w:ind w:firstLine="720" w:left="0"/>
        <w:jc w:val="both"/>
      </w:pPr>
      <w:r>
        <w:t>It is further recommended that the food catalog bundled with the system be expanded to address the coverage limitation identified in the Member role's Functional Suitability rating, so that members are able to locate a wider range of commonly consumed food items. Given that Reliability obtained the lowest rating of 4.30 in the evaluation conducted by the IT experts, it is recommended that future enhancements consider the implementation of offline data caching and automatic retry mechanisms for network requests, together with stronger input validation and error handling, in order to improve the consistency of the system under unstable network conditions. It is also recommended that the system be re-evaluated using the ISO/IEC 25010 software quality model after these enhancements are implemented, so that the effect of the changes on the software quality characteristics of the system can be measured. Finally, the features that were identified as outside the scope of the present study, such as the integration of wearable fitness devices and the automated assessment of exercise form from video recordings, are recommended as promising directions for the continued development of the system, given their recognized value in the continuous monitoring of fitness activity.</w:t>
      </w:r>
    </w:p>
    <w:p>
      <w:pPr>
        <w:spacing w:line="360" w:lineRule="auto" w:after="0" w:before="0"/>
        <w:ind w:firstLine="0" w:left="0"/>
        <w:jc w:val="left"/>
      </w:pPr>
      <w:r>
        <w:br w:type="page"/>
      </w:r>
    </w:p>
    <w:p>
      <w:pPr>
        <w:spacing w:line="360" w:lineRule="auto" w:after="120" w:before="120"/>
        <w:ind w:firstLine="0" w:left="0"/>
        <w:jc w:val="center"/>
      </w:pPr>
      <w:r>
        <w:rPr>
          <w:b/>
        </w:rPr>
        <w:t>REFERENCES</w:t>
      </w:r>
    </w:p>
    <w:p>
      <w:pPr>
        <w:spacing w:line="360" w:lineRule="auto" w:after="120" w:before="240"/>
        <w:ind w:firstLine="0" w:left="0"/>
        <w:jc w:val="left"/>
      </w:pPr>
      <w:r>
        <w:rPr>
          <w:b/>
        </w:rPr>
        <w:t>FOREIGN SOURCES</w:t>
      </w:r>
    </w:p>
    <w:p>
      <w:pPr>
        <w:spacing w:line="360" w:lineRule="auto" w:after="120" w:before="0"/>
        <w:ind w:hanging="720" w:left="720"/>
        <w:jc w:val="left"/>
      </w:pPr>
      <w:r>
        <w:rPr>
          <w:i w:val="0"/>
        </w:rPr>
        <w:t xml:space="preserve">Ainsworth, B. E., Haskell, W. L., Herrmann, S. D., Meckes, N., Bassett, D. R., Jr., Tudor-Locke, C., Greer, J. L., Vezina, J., Whitt-Glover, M. C., &amp; Leon, A. S. (2011). 2011 Compendium of physical activities: A second update of codes and MET values. </w:t>
      </w:r>
      <w:r>
        <w:rPr>
          <w:i/>
        </w:rPr>
        <w:t>Medicine &amp; Science in Sports &amp; Exercise, 43</w:t>
      </w:r>
      <w:r>
        <w:rPr>
          <w:i w:val="0"/>
        </w:rPr>
        <w:t>(8), 1575-1581. https://doi.org/10.1249/MSS.0b013e31821ece12</w:t>
      </w:r>
    </w:p>
    <w:p>
      <w:pPr>
        <w:spacing w:line="360" w:lineRule="auto" w:after="120" w:before="0"/>
        <w:ind w:hanging="720" w:left="720"/>
        <w:jc w:val="left"/>
      </w:pPr>
      <w:r>
        <w:rPr>
          <w:i w:val="0"/>
        </w:rPr>
        <w:t xml:space="preserve">Hutchesson, M. J., Rollo, M. E., Krukowski, R., Ells, L., Harvey, J., Morgan, P. J., Callister, R., Plotnikoff, R., &amp; Collins, C. E. (2015). eHealth interventions for the prevention and treatment of overweight and obesity in adults: A systematic review with meta-analysis. </w:t>
      </w:r>
      <w:r>
        <w:rPr>
          <w:i/>
        </w:rPr>
        <w:t>Obesity Reviews, 16</w:t>
      </w:r>
      <w:r>
        <w:rPr>
          <w:i w:val="0"/>
        </w:rPr>
        <w:t>(5), 376-392. https://doi.org/10.1111/obr.12268</w:t>
      </w:r>
    </w:p>
    <w:p>
      <w:pPr>
        <w:spacing w:line="360" w:lineRule="auto" w:after="120" w:before="0"/>
        <w:ind w:hanging="720" w:left="720"/>
        <w:jc w:val="left"/>
      </w:pPr>
      <w:r>
        <w:rPr>
          <w:i w:val="0"/>
        </w:rPr>
        <w:t xml:space="preserve">Johnson, [Initial], [Co-author, Initial]., &amp; [Co-author, Initial]. (2021). [Title of article]. </w:t>
      </w:r>
      <w:r>
        <w:rPr>
          <w:i/>
        </w:rPr>
        <w:t>[Journal Name]</w:t>
      </w:r>
      <w:r>
        <w:rPr>
          <w:i/>
        </w:rPr>
        <w:t>, [volume]</w:t>
      </w:r>
      <w:r>
        <w:rPr>
          <w:i w:val="0"/>
        </w:rPr>
        <w:t>([issue]), [page range]. [https://doi.org/xxxxx]</w:t>
      </w:r>
    </w:p>
    <w:p>
      <w:pPr>
        <w:spacing w:line="360" w:lineRule="auto" w:after="120" w:before="0"/>
        <w:ind w:hanging="720" w:left="720"/>
        <w:jc w:val="left"/>
      </w:pPr>
      <w:r>
        <w:rPr>
          <w:i w:val="0"/>
        </w:rPr>
        <w:t xml:space="preserve">Laudon, K. C., &amp; Laudon, J. P. (2020). </w:t>
      </w:r>
      <w:r>
        <w:rPr>
          <w:i/>
        </w:rPr>
        <w:t>Management information systems: Managing the digital firm</w:t>
      </w:r>
      <w:r>
        <w:rPr>
          <w:i w:val="0"/>
        </w:rPr>
        <w:t xml:space="preserve"> (16th ed.). Pearson.</w:t>
      </w:r>
    </w:p>
    <w:p>
      <w:pPr>
        <w:spacing w:line="360" w:lineRule="auto" w:after="120" w:before="0"/>
        <w:ind w:hanging="720" w:left="720"/>
        <w:jc w:val="left"/>
      </w:pPr>
      <w:r>
        <w:rPr>
          <w:i w:val="0"/>
        </w:rPr>
        <w:t xml:space="preserve">Patel, [Initial], [Co-author, Initial]., &amp; [Co-author, Initial]. (2022). [Title of article]. </w:t>
      </w:r>
      <w:r>
        <w:rPr>
          <w:i/>
        </w:rPr>
        <w:t>[Journal Name]</w:t>
      </w:r>
      <w:r>
        <w:rPr>
          <w:i/>
        </w:rPr>
        <w:t>, [volume]</w:t>
      </w:r>
      <w:r>
        <w:rPr>
          <w:i w:val="0"/>
        </w:rPr>
        <w:t>([issue]), [page range]. [https://doi.org/xxxxx]</w:t>
      </w:r>
    </w:p>
    <w:p>
      <w:pPr>
        <w:spacing w:line="360" w:lineRule="auto" w:after="120" w:before="0"/>
        <w:ind w:hanging="720" w:left="720"/>
        <w:jc w:val="left"/>
      </w:pPr>
      <w:r>
        <w:rPr>
          <w:i w:val="0"/>
        </w:rPr>
        <w:t xml:space="preserve">Russell, S., &amp; Norvig, P. (2021). </w:t>
      </w:r>
      <w:r>
        <w:rPr>
          <w:i/>
        </w:rPr>
        <w:t>Artificial intelligence: A modern approach</w:t>
      </w:r>
      <w:r>
        <w:rPr>
          <w:i w:val="0"/>
        </w:rPr>
        <w:t xml:space="preserve"> (4th ed.). Pearson.</w:t>
      </w:r>
    </w:p>
    <w:p>
      <w:pPr>
        <w:spacing w:line="360" w:lineRule="auto" w:after="120" w:before="0"/>
        <w:ind w:hanging="720" w:left="720"/>
        <w:jc w:val="left"/>
      </w:pPr>
      <w:r>
        <w:rPr>
          <w:i w:val="0"/>
        </w:rPr>
        <w:t xml:space="preserve">Shatte, A. B. R., Hutchinson, D. M., &amp; Teague, S. J. (2019). Machine learning in mental health: A scoping review of methods and applications. </w:t>
      </w:r>
      <w:r>
        <w:rPr>
          <w:i/>
        </w:rPr>
        <w:t>Psychological Medicine, 49</w:t>
      </w:r>
      <w:r>
        <w:rPr>
          <w:i w:val="0"/>
        </w:rPr>
        <w:t>(8), 1426-1448. https://doi.org/10.1017/S0033291719000151</w:t>
      </w:r>
    </w:p>
    <w:p>
      <w:pPr>
        <w:spacing w:line="360" w:lineRule="auto" w:after="120" w:before="0"/>
        <w:ind w:hanging="720" w:left="720"/>
        <w:jc w:val="left"/>
      </w:pPr>
      <w:r>
        <w:rPr>
          <w:i w:val="0"/>
        </w:rPr>
        <w:t xml:space="preserve">Wang, [Initial], [Co-author, Initial]., &amp; [Co-author, Initial]. (2020). [Title of article]. </w:t>
      </w:r>
      <w:r>
        <w:rPr>
          <w:i/>
        </w:rPr>
        <w:t>[Journal Name]</w:t>
      </w:r>
      <w:r>
        <w:rPr>
          <w:i/>
        </w:rPr>
        <w:t>, [volume]</w:t>
      </w:r>
      <w:r>
        <w:rPr>
          <w:i w:val="0"/>
        </w:rPr>
        <w:t>([issue]), [page range]. [https://doi.org/xxxxx]</w:t>
      </w:r>
    </w:p>
    <w:p>
      <w:pPr>
        <w:spacing w:line="360" w:lineRule="auto" w:after="120" w:before="0"/>
        <w:ind w:hanging="720" w:left="720"/>
        <w:jc w:val="left"/>
      </w:pPr>
      <w:r>
        <w:rPr>
          <w:i w:val="0"/>
        </w:rPr>
        <w:t xml:space="preserve">Yang, [Initial], [Co-author, Initial]., &amp; [Co-author, Initial]. (2021). [Title of article]. </w:t>
      </w:r>
      <w:r>
        <w:rPr>
          <w:i/>
        </w:rPr>
        <w:t>[Journal Name]</w:t>
      </w:r>
      <w:r>
        <w:rPr>
          <w:i/>
        </w:rPr>
        <w:t>, [volume]</w:t>
      </w:r>
      <w:r>
        <w:rPr>
          <w:i w:val="0"/>
        </w:rPr>
        <w:t>([issue]), [page range]. [https://doi.org/xxxxx]</w:t>
      </w:r>
    </w:p>
    <w:p>
      <w:pPr>
        <w:spacing w:line="360" w:lineRule="auto" w:after="120" w:before="240"/>
        <w:ind w:firstLine="0" w:left="0"/>
        <w:jc w:val="left"/>
      </w:pPr>
      <w:r>
        <w:rPr>
          <w:b/>
        </w:rPr>
        <w:t>LOCAL SOURCES</w:t>
      </w:r>
    </w:p>
    <w:p>
      <w:pPr>
        <w:spacing w:line="360" w:lineRule="auto" w:after="120" w:before="0"/>
        <w:ind w:hanging="720" w:left="720"/>
        <w:jc w:val="left"/>
      </w:pPr>
      <w:r>
        <w:rPr>
          <w:i w:val="0"/>
        </w:rPr>
        <w:t xml:space="preserve">Commission on Higher Education. (2023). </w:t>
      </w:r>
      <w:r>
        <w:rPr>
          <w:i/>
        </w:rPr>
        <w:t>[Title of CHED memorandum, circular, or report]</w:t>
      </w:r>
      <w:r>
        <w:rPr>
          <w:i w:val="0"/>
        </w:rPr>
        <w:t>. CHED, Quezon City. [URL]</w:t>
      </w:r>
    </w:p>
    <w:p>
      <w:pPr>
        <w:spacing w:line="360" w:lineRule="auto" w:after="120" w:before="0"/>
        <w:ind w:hanging="720" w:left="720"/>
        <w:jc w:val="left"/>
      </w:pPr>
      <w:r>
        <w:rPr>
          <w:i w:val="0"/>
        </w:rPr>
        <w:t xml:space="preserve">Cruz, [Initial]. (2022). </w:t>
      </w:r>
      <w:r>
        <w:rPr>
          <w:i/>
        </w:rPr>
        <w:t>[Title of study]</w:t>
      </w:r>
      <w:r>
        <w:rPr>
          <w:i w:val="0"/>
        </w:rPr>
        <w:t xml:space="preserve"> [Unpublished undergraduate thesis / article, Name of Institution]. [URL]</w:t>
      </w:r>
    </w:p>
    <w:p>
      <w:pPr>
        <w:spacing w:line="360" w:lineRule="auto" w:after="120" w:before="0"/>
        <w:ind w:hanging="720" w:left="720"/>
        <w:jc w:val="left"/>
      </w:pPr>
      <w:r>
        <w:rPr>
          <w:i w:val="0"/>
        </w:rPr>
        <w:t xml:space="preserve">Gonzales, [Initial], [Co-author, Initial]., &amp; [Co-author, Initial]. (2023). [Title of article]. </w:t>
      </w:r>
      <w:r>
        <w:rPr>
          <w:i/>
        </w:rPr>
        <w:t>[Journal Name]</w:t>
      </w:r>
      <w:r>
        <w:rPr>
          <w:i/>
        </w:rPr>
        <w:t>, [volume]</w:t>
      </w:r>
      <w:r>
        <w:rPr>
          <w:i w:val="0"/>
        </w:rPr>
        <w:t>([issue]), [page range]. [https://doi.org/xxxxx]</w:t>
      </w:r>
    </w:p>
    <w:p>
      <w:pPr>
        <w:spacing w:line="360" w:lineRule="auto" w:after="120" w:before="0"/>
        <w:ind w:hanging="720" w:left="720"/>
        <w:jc w:val="left"/>
      </w:pPr>
      <w:r>
        <w:rPr>
          <w:i w:val="0"/>
        </w:rPr>
        <w:t xml:space="preserve">Migriño, J., &amp; Batangan, A. R. U. (2021). Using machine learning to create a decision tree model to predict outcomes of COVID-19 cases in the Philippines. </w:t>
      </w:r>
      <w:r>
        <w:rPr>
          <w:i/>
        </w:rPr>
        <w:t>Western Pacific Surveillance and Response Journal, 12</w:t>
      </w:r>
      <w:r>
        <w:rPr>
          <w:i w:val="0"/>
        </w:rPr>
        <w:t>(3), Article 831. https://doi.org/10.5365/wpsar.2021.12.3.831</w:t>
      </w:r>
    </w:p>
    <w:p>
      <w:pPr>
        <w:spacing w:line="360" w:lineRule="auto" w:after="120" w:before="0"/>
        <w:ind w:hanging="720" w:left="720"/>
        <w:jc w:val="left"/>
      </w:pPr>
      <w:r>
        <w:rPr>
          <w:i w:val="0"/>
        </w:rPr>
        <w:t xml:space="preserve">Reyes, [Initial]. (2021). </w:t>
      </w:r>
      <w:r>
        <w:rPr>
          <w:i/>
        </w:rPr>
        <w:t>[Title of study]</w:t>
      </w:r>
      <w:r>
        <w:rPr>
          <w:i w:val="0"/>
        </w:rPr>
        <w:t xml:space="preserve"> [Unpublished undergraduate thesis / article, Name of Institution]. [URL]</w:t>
      </w:r>
    </w:p>
    <w:p>
      <w:pPr>
        <w:spacing w:line="360" w:lineRule="auto" w:after="120" w:before="0"/>
        <w:ind w:hanging="720" w:left="720"/>
        <w:jc w:val="left"/>
      </w:pPr>
      <w:r>
        <w:rPr>
          <w:i w:val="0"/>
        </w:rPr>
        <w:t xml:space="preserve">Santos, [Initial]. (2020). </w:t>
      </w:r>
      <w:r>
        <w:rPr>
          <w:i/>
        </w:rPr>
        <w:t>[Title of study]</w:t>
      </w:r>
      <w:r>
        <w:rPr>
          <w:i w:val="0"/>
        </w:rPr>
        <w:t xml:space="preserve"> [Unpublished undergraduate thesis / article, Name of Institution]. [URL]</w:t>
      </w:r>
    </w:p>
    <w:p>
      <w:pPr>
        <w:spacing w:line="360" w:lineRule="auto" w:after="120" w:before="240"/>
        <w:ind w:firstLine="0" w:left="0"/>
        <w:jc w:val="left"/>
      </w:pPr>
      <w:r>
        <w:rPr>
          <w:b/>
        </w:rPr>
        <w:t>STANDARDS, FRAMEWORKS, AND INSTITUTIONAL SOURCES</w:t>
      </w:r>
    </w:p>
    <w:p>
      <w:pPr>
        <w:spacing w:line="360" w:lineRule="auto" w:after="120" w:before="0"/>
        <w:ind w:hanging="720" w:left="720"/>
        <w:jc w:val="left"/>
      </w:pPr>
      <w:r>
        <w:rPr>
          <w:i w:val="0"/>
        </w:rPr>
        <w:t xml:space="preserve">Department of Science and Technology - Food and Nutrition Research Institute. (2015). </w:t>
      </w:r>
      <w:r>
        <w:rPr>
          <w:i/>
        </w:rPr>
        <w:t>Philippine food composition tables</w:t>
      </w:r>
      <w:r>
        <w:rPr>
          <w:i w:val="0"/>
        </w:rPr>
        <w:t>. DOST-FNRI.</w:t>
      </w:r>
    </w:p>
    <w:p>
      <w:pPr>
        <w:spacing w:line="360" w:lineRule="auto" w:after="120" w:before="0"/>
        <w:ind w:hanging="720" w:left="720"/>
        <w:jc w:val="left"/>
      </w:pPr>
      <w:r>
        <w:rPr>
          <w:i w:val="0"/>
        </w:rPr>
        <w:t xml:space="preserve">International Organization for Standardization. (2011). </w:t>
      </w:r>
      <w:r>
        <w:rPr>
          <w:i/>
        </w:rPr>
        <w:t>Systems and software engineering - Systems and software Quality Requirements and Evaluation (SQuaRE) - System and software quality models</w:t>
      </w:r>
      <w:r>
        <w:rPr>
          <w:i w:val="0"/>
        </w:rPr>
        <w:t xml:space="preserve"> (ISO/IEC 25010:2011). https://www.iso.org/standard/35733.html</w:t>
      </w:r>
    </w:p>
    <w:p>
      <w:pPr>
        <w:spacing w:line="360" w:lineRule="auto" w:after="120" w:before="0"/>
        <w:ind w:hanging="720" w:left="720"/>
        <w:jc w:val="left"/>
      </w:pPr>
      <w:r>
        <w:rPr>
          <w:i w:val="0"/>
        </w:rPr>
        <w:t xml:space="preserve">Martin, J. (1991). </w:t>
      </w:r>
      <w:r>
        <w:rPr>
          <w:i/>
        </w:rPr>
        <w:t>Rapid application development</w:t>
      </w:r>
      <w:r>
        <w:rPr>
          <w:i w:val="0"/>
        </w:rPr>
        <w:t>. Macmillan.</w:t>
      </w:r>
    </w:p>
    <w:p>
      <w:pPr>
        <w:spacing w:line="360" w:lineRule="auto" w:after="0" w:before="0"/>
        <w:ind w:firstLine="0" w:left="0"/>
        <w:jc w:val="left"/>
      </w:pPr>
      <w:r>
        <w:br w:type="page"/>
      </w:r>
    </w:p>
    <w:p>
      <w:pPr>
        <w:spacing w:line="360" w:lineRule="auto" w:after="120" w:before="120"/>
        <w:ind w:firstLine="0" w:left="0"/>
        <w:jc w:val="center"/>
      </w:pPr>
      <w:r>
        <w:rPr>
          <w:b/>
        </w:rPr>
        <w:t>NOTES ON COMPLETION</w:t>
      </w:r>
    </w:p>
    <w:p>
      <w:pPr>
        <w:spacing w:line="360" w:lineRule="auto" w:after="120" w:before="0"/>
        <w:ind w:firstLine="720" w:left="0"/>
        <w:jc w:val="both"/>
      </w:pPr>
      <w:r>
        <w:t>This page is a working checklist for the researchers. It is not part of the thesis and must be deleted before the final submission and printing of the manuscript.</w:t>
      </w:r>
    </w:p>
    <w:p>
      <w:pPr>
        <w:spacing w:line="360" w:lineRule="auto" w:after="120" w:before="240"/>
        <w:ind w:firstLine="0" w:left="0"/>
        <w:jc w:val="left"/>
      </w:pPr>
      <w:r>
        <w:rPr>
          <w:b/>
        </w:rPr>
        <w:t>A. References That Still Require Completion</w:t>
      </w:r>
    </w:p>
    <w:p>
      <w:pPr>
        <w:spacing w:line="360" w:lineRule="auto" w:after="120" w:before="0"/>
        <w:ind w:firstLine="720" w:left="0"/>
        <w:jc w:val="both"/>
      </w:pPr>
      <w:r>
        <w:t>The following nine (9) sources are cited in Chapter II using the author-date format, but Chapter II provides only the author names and the year, without the title of the work, the publication or journal, the volume, the issue, the page range, or the DOI. A targeted search of the available academic literature did not identify a published work matching these citations. In the REFERENCES section above, each of these nine sources is therefore presented as a template in APA 7th edition format, with bracketed fields marking the information that must be supplied. These entries must be completed from the original sources used by the researchers, and must not be left in bracketed form in the final manuscript.</w:t>
      </w:r>
    </w:p>
    <w:p>
      <w:pPr>
        <w:spacing w:line="360" w:lineRule="auto" w:after="120" w:before="0"/>
        <w:ind w:firstLine="360" w:left="0"/>
        <w:jc w:val="both"/>
      </w:pPr>
      <w:r>
        <w:t>Wang et al. (2020) - cited in Chapter II as a mobile health application that improved user consistency but lacked predictive forecasting and trainer-facing features, and as showing that mobile and web health applications improve user engagement.</w:t>
      </w:r>
    </w:p>
    <w:p>
      <w:pPr>
        <w:spacing w:line="360" w:lineRule="auto" w:after="120" w:before="0"/>
        <w:ind w:firstLine="360" w:left="0"/>
        <w:jc w:val="both"/>
      </w:pPr>
      <w:r>
        <w:t>Patel et al. (2022) - cited as digital health technologies improving physical activity monitoring and health behavior change.</w:t>
      </w:r>
    </w:p>
    <w:p>
      <w:pPr>
        <w:spacing w:line="360" w:lineRule="auto" w:after="120" w:before="0"/>
        <w:ind w:firstLine="360" w:left="0"/>
        <w:jc w:val="both"/>
      </w:pPr>
      <w:r>
        <w:t>Johnson et al. (2021) - cited as showing that individuals abandon manual fitness tracking because of the time and effort involved.</w:t>
      </w:r>
    </w:p>
    <w:p>
      <w:pPr>
        <w:spacing w:line="360" w:lineRule="auto" w:after="120" w:before="0"/>
        <w:ind w:firstLine="360" w:left="0"/>
        <w:jc w:val="both"/>
      </w:pPr>
      <w:r>
        <w:t>Yang et al. (2021) - cited as a behavior-based fitness application that improved user motivation through personalized feedback.</w:t>
      </w:r>
    </w:p>
    <w:p>
      <w:pPr>
        <w:spacing w:line="360" w:lineRule="auto" w:after="120" w:before="0"/>
        <w:ind w:firstLine="360" w:left="0"/>
        <w:jc w:val="both"/>
      </w:pPr>
      <w:r>
        <w:t>Commission on Higher Education (2023) - cited as an institutional direction advocating digital transformation in the Philippines.</w:t>
      </w:r>
    </w:p>
    <w:p>
      <w:pPr>
        <w:spacing w:line="360" w:lineRule="auto" w:after="120" w:before="0"/>
        <w:ind w:firstLine="360" w:left="0"/>
        <w:jc w:val="both"/>
      </w:pPr>
      <w:r>
        <w:t>Gonzales et al. (2023) - cited as showing that sustained engagement with digital health tools in the Philippines depends on user-centered design.</w:t>
      </w:r>
    </w:p>
    <w:p>
      <w:pPr>
        <w:spacing w:line="360" w:lineRule="auto" w:after="120" w:before="0"/>
        <w:ind w:firstLine="360" w:left="0"/>
        <w:jc w:val="both"/>
      </w:pPr>
      <w:r>
        <w:t>Cruz (2022) - cited as a web-based fitness monitoring system that improved data organization and reduced reliance on paper records.</w:t>
      </w:r>
    </w:p>
    <w:p>
      <w:pPr>
        <w:spacing w:line="360" w:lineRule="auto" w:after="120" w:before="0"/>
        <w:ind w:firstLine="360" w:left="0"/>
        <w:jc w:val="both"/>
      </w:pPr>
      <w:r>
        <w:t>Reyes (2021) - cited as a mobile-based health tracking application that improved accessibility for fitness enthusiasts.</w:t>
      </w:r>
    </w:p>
    <w:p>
      <w:pPr>
        <w:spacing w:line="360" w:lineRule="auto" w:after="120" w:before="0"/>
        <w:ind w:firstLine="360" w:left="0"/>
        <w:jc w:val="both"/>
      </w:pPr>
      <w:r>
        <w:t>Santos (2020) - cited as a fitness tracking system that generated basic progress reports.</w:t>
      </w:r>
    </w:p>
    <w:p>
      <w:pPr>
        <w:spacing w:line="360" w:lineRule="auto" w:after="120" w:before="0"/>
        <w:ind w:firstLine="720" w:left="0"/>
        <w:jc w:val="both"/>
      </w:pPr>
      <w:r>
        <w:t>In addition, the citation of Shatte et al. appears as 2020 throughout Chapter II. The work matching the description given in Chapter II, which concerns the use of machine learning to generate meaningful health outcome forecasts from historical data, was published in 2019, not 2020. The REFERENCES section above uses the verified 2019 publication. The researchers should either correct the year of the in-text citations in Chapter II from 2020 to 2019, or confirm the correct 2020 source if a different work was intended.</w:t>
      </w:r>
    </w:p>
    <w:p>
      <w:pPr>
        <w:spacing w:line="360" w:lineRule="auto" w:after="120" w:before="240"/>
        <w:ind w:firstLine="0" w:left="0"/>
        <w:jc w:val="left"/>
      </w:pPr>
      <w:r>
        <w:rPr>
          <w:b/>
        </w:rPr>
        <w:t>B. Corrections Identified in the Existing Chapters</w:t>
      </w:r>
    </w:p>
    <w:p>
      <w:pPr>
        <w:spacing w:line="360" w:lineRule="auto" w:after="120" w:before="0"/>
        <w:ind w:firstLine="720" w:left="0"/>
        <w:jc w:val="both"/>
      </w:pPr>
      <w:r>
        <w:t>The following inconsistencies were identified in Chapters I to IV of the manuscript while preparing this chapter. They are listed here for the researchers' action and are not yet corrected in the existing file.</w:t>
      </w:r>
    </w:p>
    <w:p>
      <w:pPr>
        <w:spacing w:line="360" w:lineRule="auto" w:after="120" w:before="0"/>
        <w:ind w:firstLine="360" w:left="0"/>
        <w:jc w:val="both"/>
      </w:pPr>
      <w:r>
        <w:t>Abstract - the placeholders [INSERT WEIGHTED MEAN] and [INSERT INTERPRETATION] remain unfilled. Based on the end-user results in Table 37, the weighted mean is 4.89 and the interpretation is Highly Acceptable.</w:t>
      </w:r>
    </w:p>
    <w:p>
      <w:pPr>
        <w:spacing w:line="360" w:lineRule="auto" w:after="120" w:before="0"/>
        <w:ind w:firstLine="360" w:left="0"/>
        <w:jc w:val="both"/>
      </w:pPr>
      <w:r>
        <w:t>Chapter III, paragraph 889 - the instrument is described as a four-point Likert scale, which contradicts the 5-point Likert scale stated in paragraphs 919 and 1023 and used in the actual evaluation. The description should be corrected to a 5-point scale.</w:t>
      </w:r>
    </w:p>
    <w:p>
      <w:pPr>
        <w:spacing w:line="360" w:lineRule="auto" w:after="120" w:before="0"/>
        <w:ind w:firstLine="360" w:left="0"/>
        <w:jc w:val="both"/>
      </w:pPr>
      <w:r>
        <w:t>Tables 30 and 37, and the corresponding entries in the List of Tables - the first criterion is labelled FUNCTIONAL SUSTAINABILITY. Under the ISO/IEC 25010 model the correct term is FUNCTIONAL SUITABILITY, as used in the surrounding narrative. Both tables should be corrected.</w:t>
      </w:r>
    </w:p>
    <w:p>
      <w:pPr>
        <w:spacing w:line="360" w:lineRule="auto" w:after="120" w:before="0"/>
        <w:ind w:firstLine="360" w:left="0"/>
        <w:jc w:val="both"/>
      </w:pPr>
      <w:r>
        <w:t>Tables 25 and 38 - the Unacceptable range is printed as 1..81 to 2.60. It should read 1.81 to 2.60.</w:t>
      </w:r>
    </w:p>
    <w:p>
      <w:pPr>
        <w:spacing w:line="360" w:lineRule="auto" w:after="120" w:before="0"/>
        <w:ind w:firstLine="360" w:left="0"/>
        <w:jc w:val="both"/>
      </w:pPr>
      <w:r>
        <w:t>Chapter IV - the chapter title is printed as THE PROBLEM AND ITS BACKGROUND, which is the title of a different chapter. It should read RESULTS AND DISCUSSIONS, or similar, to match the content.</w:t>
      </w:r>
    </w:p>
    <w:p>
      <w:pPr>
        <w:spacing w:line="360" w:lineRule="auto" w:after="120" w:before="0"/>
        <w:ind w:firstLine="360" w:left="0"/>
        <w:jc w:val="both"/>
      </w:pPr>
      <w:r>
        <w:t>Chapter IV - the section heading 4.1 contains the misspelling TESING; it should read TESTING.</w:t>
      </w:r>
    </w:p>
    <w:p>
      <w:pPr>
        <w:spacing w:line="360" w:lineRule="auto" w:after="120" w:before="0"/>
        <w:ind w:firstLine="360" w:left="0"/>
        <w:jc w:val="both"/>
      </w:pPr>
      <w:r>
        <w:t>Chapter IV - the heading EVALUATED BY IT EXPERTTS contains a spelling error; it should read EVALUATED BY IT EXPERTS.</w:t>
      </w:r>
    </w:p>
    <w:p>
      <w:pPr>
        <w:spacing w:line="360" w:lineRule="auto" w:after="120" w:before="0"/>
        <w:ind w:firstLine="360" w:left="0"/>
        <w:jc w:val="both"/>
      </w:pPr>
      <w:r>
        <w:t>Chapter IV, paragraph 1024 - the sentence states that the Overall System Rating is the mean of the six criterion ratings, but seven criteria were evaluated and the rating was computed from all seven. The text should read seven.</w:t>
      </w:r>
    </w:p>
    <w:p>
      <w:pPr>
        <w:spacing w:line="360" w:lineRule="auto" w:after="120" w:before="240"/>
        <w:ind w:firstLine="0" w:left="0"/>
        <w:jc w:val="left"/>
      </w:pPr>
      <w:r>
        <w:rPr>
          <w:b/>
        </w:rPr>
        <w:t>C. Measurement of the Two Quantitative Targets</w:t>
      </w:r>
    </w:p>
    <w:p>
      <w:pPr>
        <w:spacing w:line="360" w:lineRule="auto" w:after="120" w:before="0"/>
        <w:ind w:firstLine="720" w:left="0"/>
        <w:jc w:val="both"/>
      </w:pPr>
      <w:r>
        <w:t>Two of the specific objectives in Chapter I state quantitative targets: at least 90% of enrolled members logging sessions within one month of deployment, and a minimum accuracy of 80% for the progress forecasts. Neither target could be formally measured within this study, because the system had not been in full operation for a complete month at the time of data gathering, and because forecast accuracy requires a comparison of predicted values against actual subsequent outcomes over an extended period. Chapter V therefore reports both capabilities as implemented and verified as functional, and recommends formal post-deployment measurement of both targets. If the school requires the targets to be reported as numerically met or not met, additional data collection will be needed.</w:t>
      </w:r>
    </w:p>
    <w:sectPr w:rsidR="00FC693F" w:rsidRPr="0006063C" w:rsidSect="00034616">
      <w:pgSz w:w="11909" w:h="16834"/>
      <w:pgMar w:top="1541" w:right="1440" w:bottom="1469" w:left="1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