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4D71" w14:textId="77777777" w:rsidR="007E262C" w:rsidRDefault="007E262C" w:rsidP="00131488">
      <w:pPr>
        <w:jc w:val="center"/>
        <w:rPr>
          <w:rFonts w:ascii="Times New Roman" w:hAnsi="Times New Roman" w:cs="Times New Roman"/>
          <w:b/>
          <w:bCs/>
          <w:sz w:val="44"/>
          <w:szCs w:val="44"/>
        </w:rPr>
      </w:pPr>
      <w:r w:rsidRPr="007E262C">
        <w:rPr>
          <w:rFonts w:ascii="Times New Roman" w:hAnsi="Times New Roman" w:cs="Times New Roman"/>
          <w:b/>
          <w:bCs/>
          <w:sz w:val="44"/>
          <w:szCs w:val="44"/>
        </w:rPr>
        <w:t>National Health Assessment and Community-Led Strategic Planning for Alcohol Reduction in India</w:t>
      </w:r>
    </w:p>
    <w:p w14:paraId="3E321D9B" w14:textId="77777777" w:rsidR="007E262C" w:rsidRPr="007E262C" w:rsidRDefault="007E262C" w:rsidP="00131488">
      <w:pPr>
        <w:jc w:val="center"/>
        <w:rPr>
          <w:rFonts w:ascii="Times New Roman" w:hAnsi="Times New Roman" w:cs="Times New Roman"/>
          <w:b/>
          <w:bCs/>
          <w:sz w:val="44"/>
          <w:szCs w:val="44"/>
        </w:rPr>
      </w:pPr>
    </w:p>
    <w:p w14:paraId="2D0EAB7D" w14:textId="77777777" w:rsidR="007E262C" w:rsidRPr="007E262C" w:rsidRDefault="007E262C" w:rsidP="00131488">
      <w:pPr>
        <w:jc w:val="center"/>
        <w:rPr>
          <w:rFonts w:ascii="Times New Roman" w:hAnsi="Times New Roman" w:cs="Times New Roman"/>
          <w:b/>
          <w:bCs/>
          <w:sz w:val="28"/>
          <w:szCs w:val="28"/>
        </w:rPr>
      </w:pPr>
      <w:r w:rsidRPr="007E262C">
        <w:rPr>
          <w:rFonts w:ascii="Times New Roman" w:hAnsi="Times New Roman" w:cs="Times New Roman"/>
          <w:b/>
          <w:bCs/>
          <w:sz w:val="28"/>
          <w:szCs w:val="28"/>
        </w:rPr>
        <w:t>A Comprehensive Analysis for Future Policy and Family Wealth Preservation</w:t>
      </w:r>
    </w:p>
    <w:p w14:paraId="67644652" w14:textId="77777777" w:rsidR="007C3185" w:rsidRDefault="007C3185" w:rsidP="005C044F">
      <w:pPr>
        <w:jc w:val="both"/>
      </w:pPr>
    </w:p>
    <w:p w14:paraId="4663D4F5" w14:textId="77777777" w:rsidR="007E262C" w:rsidRDefault="007E262C" w:rsidP="005C044F">
      <w:pPr>
        <w:jc w:val="both"/>
      </w:pPr>
    </w:p>
    <w:p w14:paraId="79CD7665" w14:textId="5938C2CD" w:rsidR="007E262C" w:rsidRPr="007E262C" w:rsidRDefault="007E262C" w:rsidP="00131488">
      <w:pPr>
        <w:jc w:val="center"/>
        <w:rPr>
          <w:rFonts w:ascii="Times New Roman" w:hAnsi="Times New Roman" w:cs="Times New Roman"/>
        </w:rPr>
      </w:pPr>
      <w:r w:rsidRPr="007E262C">
        <w:rPr>
          <w:rFonts w:ascii="Times New Roman" w:hAnsi="Times New Roman" w:cs="Times New Roman"/>
          <w:b/>
          <w:bCs/>
        </w:rPr>
        <w:t>Author:</w:t>
      </w:r>
      <w:r w:rsidRPr="007E262C">
        <w:rPr>
          <w:rFonts w:ascii="Times New Roman" w:hAnsi="Times New Roman" w:cs="Times New Roman"/>
        </w:rPr>
        <w:t xml:space="preserve"> </w:t>
      </w:r>
      <w:r>
        <w:rPr>
          <w:rFonts w:ascii="Times New Roman" w:hAnsi="Times New Roman" w:cs="Times New Roman"/>
        </w:rPr>
        <w:t>John Raj T</w:t>
      </w:r>
    </w:p>
    <w:p w14:paraId="5A440D08" w14:textId="48DBD0A4" w:rsidR="007E262C" w:rsidRDefault="007E262C" w:rsidP="00131488">
      <w:pPr>
        <w:jc w:val="center"/>
        <w:rPr>
          <w:rFonts w:ascii="Times New Roman" w:hAnsi="Times New Roman" w:cs="Times New Roman"/>
        </w:rPr>
      </w:pPr>
      <w:r w:rsidRPr="007E262C">
        <w:rPr>
          <w:rFonts w:ascii="Times New Roman" w:hAnsi="Times New Roman" w:cs="Times New Roman"/>
          <w:b/>
          <w:bCs/>
        </w:rPr>
        <w:t>Date:</w:t>
      </w:r>
      <w:r w:rsidRPr="007E262C">
        <w:rPr>
          <w:rFonts w:ascii="Times New Roman" w:hAnsi="Times New Roman" w:cs="Times New Roman"/>
        </w:rPr>
        <w:t xml:space="preserve"> </w:t>
      </w:r>
      <w:r>
        <w:rPr>
          <w:rFonts w:ascii="Times New Roman" w:hAnsi="Times New Roman" w:cs="Times New Roman"/>
        </w:rPr>
        <w:t>30/12/2025</w:t>
      </w:r>
    </w:p>
    <w:p w14:paraId="31D63162" w14:textId="77777777" w:rsidR="007E262C" w:rsidRPr="007E262C" w:rsidRDefault="007E262C" w:rsidP="005C044F">
      <w:pPr>
        <w:jc w:val="both"/>
        <w:rPr>
          <w:rFonts w:ascii="Times New Roman" w:hAnsi="Times New Roman" w:cs="Times New Roman"/>
        </w:rPr>
      </w:pPr>
    </w:p>
    <w:p w14:paraId="7937EDE0" w14:textId="77777777" w:rsidR="007E262C" w:rsidRDefault="007E262C" w:rsidP="005C044F">
      <w:pPr>
        <w:jc w:val="both"/>
      </w:pPr>
    </w:p>
    <w:p w14:paraId="3403CF80" w14:textId="4AD498AC" w:rsidR="00B5410F" w:rsidRDefault="00B5410F" w:rsidP="00131488">
      <w:pPr>
        <w:jc w:val="center"/>
      </w:pPr>
      <w:r>
        <w:rPr>
          <w:noProof/>
        </w:rPr>
        <w:drawing>
          <wp:inline distT="0" distB="0" distL="0" distR="0" wp14:anchorId="58F1CCB5" wp14:editId="347DF94A">
            <wp:extent cx="5731510" cy="3418114"/>
            <wp:effectExtent l="0" t="0" r="2540" b="0"/>
            <wp:docPr id="895058867" name="Picture 1" descr="A person holding bottles of alcoh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8867" name="Picture 1" descr="A person holding bottles of alcohol&#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6895" cy="3421326"/>
                    </a:xfrm>
                    <a:prstGeom prst="rect">
                      <a:avLst/>
                    </a:prstGeom>
                  </pic:spPr>
                </pic:pic>
              </a:graphicData>
            </a:graphic>
          </wp:inline>
        </w:drawing>
      </w:r>
    </w:p>
    <w:p w14:paraId="4E5B8EAD" w14:textId="1826EDE0" w:rsidR="00B5410F" w:rsidRPr="00066C97" w:rsidRDefault="00066C97" w:rsidP="00131488">
      <w:pPr>
        <w:jc w:val="center"/>
        <w:rPr>
          <w:rFonts w:ascii="Times New Roman" w:hAnsi="Times New Roman" w:cs="Times New Roman"/>
          <w:i/>
          <w:iCs/>
        </w:rPr>
      </w:pPr>
      <w:r w:rsidRPr="00066C97">
        <w:rPr>
          <w:rFonts w:ascii="Times New Roman" w:hAnsi="Times New Roman" w:cs="Times New Roman"/>
          <w:i/>
          <w:iCs/>
          <w:color w:val="545658"/>
          <w:sz w:val="20"/>
          <w:szCs w:val="20"/>
          <w:shd w:val="clear" w:color="auto" w:fill="FFFFFF"/>
        </w:rPr>
        <w:t xml:space="preserve">Image: </w:t>
      </w:r>
      <w:r w:rsidRPr="00066C97">
        <w:rPr>
          <w:rFonts w:ascii="Times New Roman" w:hAnsi="Times New Roman" w:cs="Times New Roman"/>
          <w:i/>
          <w:iCs/>
          <w:color w:val="545658"/>
          <w:sz w:val="20"/>
          <w:szCs w:val="20"/>
          <w:shd w:val="clear" w:color="auto" w:fill="FFFFFF"/>
        </w:rPr>
        <w:t>14 May 2020</w:t>
      </w:r>
      <w:r w:rsidRPr="00066C97">
        <w:rPr>
          <w:rFonts w:ascii="Times New Roman" w:hAnsi="Times New Roman" w:cs="Times New Roman"/>
          <w:i/>
          <w:iCs/>
          <w:color w:val="545658"/>
          <w:sz w:val="20"/>
          <w:szCs w:val="20"/>
          <w:shd w:val="clear" w:color="auto" w:fill="FFFFFF"/>
        </w:rPr>
        <w:t xml:space="preserve"> Lockdown time from BBC</w:t>
      </w:r>
    </w:p>
    <w:p w14:paraId="4748B568" w14:textId="77777777" w:rsidR="00B5410F" w:rsidRDefault="00B5410F" w:rsidP="005C044F">
      <w:pPr>
        <w:jc w:val="both"/>
      </w:pPr>
    </w:p>
    <w:p w14:paraId="459D545A" w14:textId="77777777" w:rsidR="00B5410F" w:rsidRDefault="00B5410F" w:rsidP="005C044F">
      <w:pPr>
        <w:jc w:val="both"/>
      </w:pPr>
    </w:p>
    <w:p w14:paraId="3176A98A" w14:textId="77777777" w:rsidR="00A44239" w:rsidRDefault="00E7329A" w:rsidP="00A44239">
      <w:pPr>
        <w:keepNext/>
        <w:rPr>
          <w:rFonts w:ascii="Times New Roman" w:hAnsi="Times New Roman" w:cs="Times New Roman"/>
          <w:b/>
          <w:bCs/>
          <w:color w:val="0070C0"/>
          <w:sz w:val="36"/>
          <w:szCs w:val="36"/>
        </w:rPr>
      </w:pPr>
      <w:r w:rsidRPr="002C4982">
        <w:rPr>
          <w:rFonts w:ascii="Times New Roman" w:hAnsi="Times New Roman" w:cs="Times New Roman"/>
          <w:b/>
          <w:bCs/>
          <w:color w:val="0070C0"/>
          <w:sz w:val="36"/>
          <w:szCs w:val="36"/>
        </w:rPr>
        <w:lastRenderedPageBreak/>
        <w:t>Introduction</w:t>
      </w:r>
    </w:p>
    <w:p w14:paraId="512F3811" w14:textId="14C700CE" w:rsidR="00FA229F" w:rsidRDefault="00FA229F" w:rsidP="00A44239">
      <w:pPr>
        <w:keepNext/>
      </w:pPr>
      <w:r w:rsidRPr="00E5074F">
        <w:drawing>
          <wp:inline distT="0" distB="0" distL="0" distR="0" wp14:anchorId="104F2EDA" wp14:editId="40A4FE92">
            <wp:extent cx="5690359" cy="3810852"/>
            <wp:effectExtent l="0" t="0" r="5715" b="0"/>
            <wp:docPr id="1978370202" name="Picture 2" descr="A group of people standing in front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0202" name="Picture 2" descr="A group of people standing in front of a pie chart&#10;&#10;AI-generated content may be incorrect."/>
                    <pic:cNvPicPr/>
                  </pic:nvPicPr>
                  <pic:blipFill rotWithShape="1">
                    <a:blip r:embed="rId7">
                      <a:extLst>
                        <a:ext uri="{28A0092B-C50C-407E-A947-70E740481C1C}">
                          <a14:useLocalDpi xmlns:a14="http://schemas.microsoft.com/office/drawing/2010/main" val="0"/>
                        </a:ext>
                      </a:extLst>
                    </a:blip>
                    <a:srcRect t="17548" b="11776"/>
                    <a:stretch>
                      <a:fillRect/>
                    </a:stretch>
                  </pic:blipFill>
                  <pic:spPr bwMode="auto">
                    <a:xfrm>
                      <a:off x="0" y="0"/>
                      <a:ext cx="5712805" cy="3825884"/>
                    </a:xfrm>
                    <a:prstGeom prst="rect">
                      <a:avLst/>
                    </a:prstGeom>
                    <a:ln>
                      <a:noFill/>
                    </a:ln>
                    <a:extLst>
                      <a:ext uri="{53640926-AAD7-44D8-BBD7-CCE9431645EC}">
                        <a14:shadowObscured xmlns:a14="http://schemas.microsoft.com/office/drawing/2010/main"/>
                      </a:ext>
                    </a:extLst>
                  </pic:spPr>
                </pic:pic>
              </a:graphicData>
            </a:graphic>
          </wp:inline>
        </w:drawing>
      </w:r>
    </w:p>
    <w:p w14:paraId="4296A66F" w14:textId="09654CD3" w:rsidR="00FA229F" w:rsidRDefault="00FA229F" w:rsidP="00FA229F">
      <w:pPr>
        <w:pStyle w:val="Caption"/>
        <w:jc w:val="center"/>
      </w:pPr>
      <w:r>
        <w:t xml:space="preserve">Figure </w:t>
      </w:r>
      <w:fldSimple w:instr=" SEQ Figure \* ARABIC ">
        <w:r>
          <w:rPr>
            <w:noProof/>
          </w:rPr>
          <w:t>1</w:t>
        </w:r>
      </w:fldSimple>
      <w:r>
        <w:t>: Future imagination</w:t>
      </w:r>
    </w:p>
    <w:p w14:paraId="39FBEBFE" w14:textId="09D41057" w:rsidR="00E7329A" w:rsidRPr="00E7329A" w:rsidRDefault="00E7329A" w:rsidP="005C044F">
      <w:pPr>
        <w:jc w:val="both"/>
        <w:rPr>
          <w:rFonts w:ascii="Times New Roman" w:hAnsi="Times New Roman" w:cs="Times New Roman"/>
          <w:sz w:val="24"/>
          <w:szCs w:val="24"/>
        </w:rPr>
      </w:pPr>
      <w:r w:rsidRPr="00E7329A">
        <w:rPr>
          <w:rFonts w:ascii="Times New Roman" w:hAnsi="Times New Roman" w:cs="Times New Roman"/>
          <w:sz w:val="24"/>
          <w:szCs w:val="24"/>
        </w:rPr>
        <w:t>Alcohol consumption in India is far more than just a public health concern; it is a deep-rooted socio-economic challenge that impacts the very fabric of household stability and national growth. While the alcohol industry remains a major contributor to state treasuries, the hidden costs</w:t>
      </w:r>
      <w:r w:rsidRPr="00375AA0">
        <w:rPr>
          <w:rFonts w:ascii="Times New Roman" w:hAnsi="Times New Roman" w:cs="Times New Roman"/>
          <w:sz w:val="24"/>
          <w:szCs w:val="24"/>
        </w:rPr>
        <w:t>-</w:t>
      </w:r>
      <w:r w:rsidRPr="00E7329A">
        <w:rPr>
          <w:rFonts w:ascii="Times New Roman" w:hAnsi="Times New Roman" w:cs="Times New Roman"/>
          <w:sz w:val="24"/>
          <w:szCs w:val="24"/>
        </w:rPr>
        <w:t>often referred to as a "silent tax"</w:t>
      </w:r>
      <w:r w:rsidRPr="00375AA0">
        <w:rPr>
          <w:rFonts w:ascii="Times New Roman" w:hAnsi="Times New Roman" w:cs="Times New Roman"/>
          <w:sz w:val="24"/>
          <w:szCs w:val="24"/>
        </w:rPr>
        <w:t>-</w:t>
      </w:r>
      <w:r w:rsidRPr="00E7329A">
        <w:rPr>
          <w:rFonts w:ascii="Times New Roman" w:hAnsi="Times New Roman" w:cs="Times New Roman"/>
          <w:sz w:val="24"/>
          <w:szCs w:val="24"/>
        </w:rPr>
        <w:t>on family wealth and human potential are immense. As the nation strives to capitalize on its youthful population, current trends in consumption, particularly in rural settings, threaten to derail India’s demographic advantages and future prosperity.</w:t>
      </w:r>
    </w:p>
    <w:p w14:paraId="6365D167" w14:textId="77777777" w:rsidR="00E7329A" w:rsidRDefault="00E7329A" w:rsidP="005C044F">
      <w:pPr>
        <w:jc w:val="both"/>
        <w:rPr>
          <w:rFonts w:ascii="Times New Roman" w:hAnsi="Times New Roman" w:cs="Times New Roman"/>
          <w:sz w:val="24"/>
          <w:szCs w:val="24"/>
        </w:rPr>
      </w:pPr>
      <w:r w:rsidRPr="00E7329A">
        <w:rPr>
          <w:rFonts w:ascii="Times New Roman" w:hAnsi="Times New Roman" w:cs="Times New Roman"/>
          <w:sz w:val="24"/>
          <w:szCs w:val="24"/>
        </w:rPr>
        <w:t>This project adopts a comprehensive, data-driven approach to map the landscape of alcohol usage across various Indian States and Union Territories. By moving beyond surface-level observations and utilizing advanced analytical frameworks, this study categorizes different regions into risk profiles based on local consumption habits and gender-based patterns. This allows for a nuanced understanding of where economic drain is most severe and where health interventions are most urgently needed.</w:t>
      </w:r>
    </w:p>
    <w:p w14:paraId="0D85371E" w14:textId="77777777" w:rsidR="00E5074F" w:rsidRDefault="00984176" w:rsidP="00E5074F">
      <w:pPr>
        <w:keepNext/>
        <w:jc w:val="both"/>
      </w:pPr>
      <w:r>
        <w:rPr>
          <w:rFonts w:ascii="Times New Roman" w:hAnsi="Times New Roman" w:cs="Times New Roman"/>
          <w:noProof/>
          <w:sz w:val="24"/>
          <w:szCs w:val="24"/>
        </w:rPr>
        <w:lastRenderedPageBreak/>
        <w:drawing>
          <wp:inline distT="0" distB="0" distL="0" distR="0" wp14:anchorId="76F77ADE" wp14:editId="647F47EC">
            <wp:extent cx="5731510" cy="3805743"/>
            <wp:effectExtent l="0" t="0" r="2540" b="4445"/>
            <wp:docPr id="1334349930" name="Picture 23"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9930" name="Picture 23" descr="A chart with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4277" cy="3807580"/>
                    </a:xfrm>
                    <a:prstGeom prst="rect">
                      <a:avLst/>
                    </a:prstGeom>
                  </pic:spPr>
                </pic:pic>
              </a:graphicData>
            </a:graphic>
          </wp:inline>
        </w:drawing>
      </w:r>
    </w:p>
    <w:p w14:paraId="330FA35D" w14:textId="75CA4EDF" w:rsidR="00984176" w:rsidRPr="00E7329A" w:rsidRDefault="00E5074F" w:rsidP="00FA229F">
      <w:pPr>
        <w:pStyle w:val="Caption"/>
        <w:jc w:val="center"/>
        <w:rPr>
          <w:rFonts w:ascii="Times New Roman" w:hAnsi="Times New Roman" w:cs="Times New Roman"/>
          <w:sz w:val="24"/>
          <w:szCs w:val="24"/>
        </w:rPr>
      </w:pPr>
      <w:r>
        <w:t xml:space="preserve">Figure </w:t>
      </w:r>
      <w:fldSimple w:instr=" SEQ Figure \* ARABIC ">
        <w:r w:rsidR="00FA229F">
          <w:rPr>
            <w:noProof/>
          </w:rPr>
          <w:t>2</w:t>
        </w:r>
      </w:fldSimple>
      <w:r>
        <w:t xml:space="preserve"> Top 15 states male alcohol consumption prevalence</w:t>
      </w:r>
    </w:p>
    <w:p w14:paraId="511FFDB8" w14:textId="5AC0E52D" w:rsidR="00E7329A" w:rsidRDefault="00E7329A" w:rsidP="005C044F">
      <w:pPr>
        <w:jc w:val="both"/>
        <w:rPr>
          <w:rFonts w:ascii="Times New Roman" w:hAnsi="Times New Roman" w:cs="Times New Roman"/>
        </w:rPr>
      </w:pPr>
      <w:r w:rsidRPr="00E7329A">
        <w:rPr>
          <w:rFonts w:ascii="Times New Roman" w:hAnsi="Times New Roman" w:cs="Times New Roman"/>
          <w:sz w:val="24"/>
          <w:szCs w:val="24"/>
        </w:rPr>
        <w:t>The ultimate goal of this research is to establish a practical roadmap for positive change. This involves a dual strategy: implementing modern technological safeguards to protect the younger generation from early exposure and introducing a holistic "Family Wealth Plan". By framing the transition toward sobriety as a "dividend" for the family, this strategy demonstrates how redirecting spending toward long-term goals can fundamentally transform a household's financial trajectory. This project advocates for a shift in perspective</w:t>
      </w:r>
      <w:r w:rsidRPr="00375AA0">
        <w:rPr>
          <w:rFonts w:ascii="Times New Roman" w:hAnsi="Times New Roman" w:cs="Times New Roman"/>
          <w:sz w:val="24"/>
          <w:szCs w:val="24"/>
        </w:rPr>
        <w:t>-</w:t>
      </w:r>
      <w:r w:rsidRPr="00E7329A">
        <w:rPr>
          <w:rFonts w:ascii="Times New Roman" w:hAnsi="Times New Roman" w:cs="Times New Roman"/>
          <w:sz w:val="24"/>
          <w:szCs w:val="24"/>
        </w:rPr>
        <w:t>viewing the reduction of alcohol consumption not as a moral restriction, but as a powerful engine for economic empowerment and lasting financial freedom</w:t>
      </w:r>
      <w:r w:rsidRPr="00E7329A">
        <w:rPr>
          <w:rFonts w:ascii="Times New Roman" w:hAnsi="Times New Roman" w:cs="Times New Roman"/>
        </w:rPr>
        <w:t>.</w:t>
      </w:r>
    </w:p>
    <w:p w14:paraId="27E0ADB0" w14:textId="77777777" w:rsidR="00984176" w:rsidRDefault="00984176" w:rsidP="005C044F">
      <w:pPr>
        <w:jc w:val="both"/>
        <w:rPr>
          <w:rFonts w:ascii="Times New Roman" w:hAnsi="Times New Roman" w:cs="Times New Roman"/>
        </w:rPr>
      </w:pPr>
    </w:p>
    <w:p w14:paraId="0591A1F6" w14:textId="77777777" w:rsidR="00375AA0" w:rsidRPr="00375AA0" w:rsidRDefault="00375AA0" w:rsidP="005C044F">
      <w:pPr>
        <w:spacing w:before="100" w:beforeAutospacing="1" w:after="100" w:afterAutospacing="1" w:line="240" w:lineRule="auto"/>
        <w:jc w:val="both"/>
        <w:outlineLvl w:val="1"/>
        <w:rPr>
          <w:rFonts w:ascii="Times New Roman" w:eastAsia="Times New Roman" w:hAnsi="Times New Roman" w:cs="Times New Roman"/>
          <w:b/>
          <w:bCs/>
          <w:color w:val="0070C0"/>
          <w:kern w:val="0"/>
          <w:sz w:val="36"/>
          <w:szCs w:val="36"/>
          <w:lang w:eastAsia="en-GB"/>
          <w14:ligatures w14:val="none"/>
        </w:rPr>
      </w:pPr>
      <w:r w:rsidRPr="00375AA0">
        <w:rPr>
          <w:rFonts w:ascii="Times New Roman" w:eastAsia="Times New Roman" w:hAnsi="Times New Roman" w:cs="Times New Roman"/>
          <w:b/>
          <w:bCs/>
          <w:color w:val="0070C0"/>
          <w:kern w:val="0"/>
          <w:sz w:val="36"/>
          <w:szCs w:val="36"/>
          <w:lang w:eastAsia="en-GB"/>
          <w14:ligatures w14:val="none"/>
        </w:rPr>
        <w:t>2. Methodology: Data-Driven Problem Identification</w:t>
      </w:r>
    </w:p>
    <w:p w14:paraId="3EFF029B"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 xml:space="preserve">To understand the true impact of alcohol consumption in India, we had to look beyond the balance sheets. While state excise reports tell us </w:t>
      </w:r>
      <w:r w:rsidRPr="00375AA0">
        <w:rPr>
          <w:rFonts w:ascii="Times New Roman" w:eastAsia="Times New Roman" w:hAnsi="Times New Roman" w:cs="Times New Roman"/>
          <w:i/>
          <w:iCs/>
          <w:kern w:val="0"/>
          <w:sz w:val="24"/>
          <w:szCs w:val="24"/>
          <w:lang w:eastAsia="en-GB"/>
          <w14:ligatures w14:val="none"/>
        </w:rPr>
        <w:t>how much</w:t>
      </w:r>
      <w:r w:rsidRPr="00375AA0">
        <w:rPr>
          <w:rFonts w:ascii="Times New Roman" w:eastAsia="Times New Roman" w:hAnsi="Times New Roman" w:cs="Times New Roman"/>
          <w:kern w:val="0"/>
          <w:sz w:val="24"/>
          <w:szCs w:val="24"/>
          <w:lang w:eastAsia="en-GB"/>
          <w14:ligatures w14:val="none"/>
        </w:rPr>
        <w:t xml:space="preserve"> was sold, they rarely tell us </w:t>
      </w:r>
      <w:r w:rsidRPr="00375AA0">
        <w:rPr>
          <w:rFonts w:ascii="Times New Roman" w:eastAsia="Times New Roman" w:hAnsi="Times New Roman" w:cs="Times New Roman"/>
          <w:i/>
          <w:iCs/>
          <w:kern w:val="0"/>
          <w:sz w:val="24"/>
          <w:szCs w:val="24"/>
          <w:lang w:eastAsia="en-GB"/>
          <w14:ligatures w14:val="none"/>
        </w:rPr>
        <w:t>who</w:t>
      </w:r>
      <w:r w:rsidRPr="00375AA0">
        <w:rPr>
          <w:rFonts w:ascii="Times New Roman" w:eastAsia="Times New Roman" w:hAnsi="Times New Roman" w:cs="Times New Roman"/>
          <w:kern w:val="0"/>
          <w:sz w:val="24"/>
          <w:szCs w:val="24"/>
          <w:lang w:eastAsia="en-GB"/>
          <w14:ligatures w14:val="none"/>
        </w:rPr>
        <w:t xml:space="preserve"> is paying the real price. Therefore, our methodology was not just a statistical exercise; it was an investigation into the socio-economic heartbeat of the nation.</w:t>
      </w:r>
    </w:p>
    <w:p w14:paraId="5813BC8A" w14:textId="77777777" w:rsid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 xml:space="preserve">Our approach utilized </w:t>
      </w:r>
      <w:r w:rsidRPr="00375AA0">
        <w:rPr>
          <w:rFonts w:ascii="Times New Roman" w:eastAsia="Times New Roman" w:hAnsi="Times New Roman" w:cs="Times New Roman"/>
          <w:b/>
          <w:bCs/>
          <w:kern w:val="0"/>
          <w:sz w:val="24"/>
          <w:szCs w:val="24"/>
          <w:lang w:eastAsia="en-GB"/>
          <w14:ligatures w14:val="none"/>
        </w:rPr>
        <w:t>Exploratory Data Strategy (EDS)</w:t>
      </w:r>
      <w:r w:rsidRPr="00375AA0">
        <w:rPr>
          <w:rFonts w:ascii="Times New Roman" w:eastAsia="Times New Roman" w:hAnsi="Times New Roman" w:cs="Times New Roman"/>
          <w:kern w:val="0"/>
          <w:sz w:val="24"/>
          <w:szCs w:val="24"/>
          <w:lang w:eastAsia="en-GB"/>
          <w14:ligatures w14:val="none"/>
        </w:rPr>
        <w:t xml:space="preserve"> to peel back the layers of the </w:t>
      </w:r>
      <w:r w:rsidRPr="00375AA0">
        <w:rPr>
          <w:rFonts w:ascii="Times New Roman" w:eastAsia="Times New Roman" w:hAnsi="Times New Roman" w:cs="Times New Roman"/>
          <w:b/>
          <w:bCs/>
          <w:kern w:val="0"/>
          <w:sz w:val="24"/>
          <w:szCs w:val="24"/>
          <w:lang w:eastAsia="en-GB"/>
          <w14:ligatures w14:val="none"/>
        </w:rPr>
        <w:t>2021 Alcohol Consumption dataset</w:t>
      </w:r>
      <w:r w:rsidRPr="00375AA0">
        <w:rPr>
          <w:rFonts w:ascii="Times New Roman" w:eastAsia="Times New Roman" w:hAnsi="Times New Roman" w:cs="Times New Roman"/>
          <w:kern w:val="0"/>
          <w:sz w:val="24"/>
          <w:szCs w:val="24"/>
          <w:lang w:eastAsia="en-GB"/>
          <w14:ligatures w14:val="none"/>
        </w:rPr>
        <w:t>. We aimed to humanize the numbers, transforming raw rows and columns into a narrative that highlights the friction between state revenue and family resilience.</w:t>
      </w:r>
    </w:p>
    <w:p w14:paraId="76A1CCAE" w14:textId="77777777" w:rsidR="00A44239" w:rsidRPr="00375AA0" w:rsidRDefault="00A44239"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0834D7DF" w14:textId="77777777" w:rsidR="00375AA0" w:rsidRPr="00375AA0" w:rsidRDefault="00375AA0" w:rsidP="005C04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375AA0">
        <w:rPr>
          <w:rFonts w:ascii="Times New Roman" w:eastAsia="Times New Roman" w:hAnsi="Times New Roman" w:cs="Times New Roman"/>
          <w:b/>
          <w:bCs/>
          <w:kern w:val="0"/>
          <w:sz w:val="27"/>
          <w:szCs w:val="27"/>
          <w:lang w:eastAsia="en-GB"/>
          <w14:ligatures w14:val="none"/>
        </w:rPr>
        <w:lastRenderedPageBreak/>
        <w:t>2.1 The Data Landscape: Sourcing with Empathy</w:t>
      </w:r>
    </w:p>
    <w:p w14:paraId="6E4A4267"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We began by aggregating data from 2021, a pivotal year where the post-pandemic landscape began to settle. The dataset covered state-wise distribution, excise revenue figures, and consumption percentages for men and women aged 15 and above.</w:t>
      </w:r>
    </w:p>
    <w:p w14:paraId="31E252B2" w14:textId="50250CF1"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However, we recognized early on that official data often suffers from "survivorship bias"</w:t>
      </w:r>
      <w:r>
        <w:rPr>
          <w:rFonts w:ascii="Times New Roman" w:eastAsia="Times New Roman" w:hAnsi="Times New Roman" w:cs="Times New Roman"/>
          <w:kern w:val="0"/>
          <w:sz w:val="24"/>
          <w:szCs w:val="24"/>
          <w:lang w:eastAsia="en-GB"/>
          <w14:ligatures w14:val="none"/>
        </w:rPr>
        <w:t>-</w:t>
      </w:r>
      <w:r w:rsidRPr="00375AA0">
        <w:rPr>
          <w:rFonts w:ascii="Times New Roman" w:eastAsia="Times New Roman" w:hAnsi="Times New Roman" w:cs="Times New Roman"/>
          <w:kern w:val="0"/>
          <w:sz w:val="24"/>
          <w:szCs w:val="24"/>
          <w:lang w:eastAsia="en-GB"/>
          <w14:ligatures w14:val="none"/>
        </w:rPr>
        <w:t xml:space="preserve">it counts the legal bottles sold but misses the unregulated "country liquor" that devastates rural communities. To counter this, we adopted a multi-dimensional view, treating every data point as a proxy for human </w:t>
      </w:r>
      <w:r w:rsidRPr="00375AA0">
        <w:rPr>
          <w:rFonts w:ascii="Times New Roman" w:eastAsia="Times New Roman" w:hAnsi="Times New Roman" w:cs="Times New Roman"/>
          <w:kern w:val="0"/>
          <w:sz w:val="24"/>
          <w:szCs w:val="24"/>
          <w:lang w:eastAsia="en-GB"/>
          <w14:ligatures w14:val="none"/>
        </w:rPr>
        <w:t>behaviour</w:t>
      </w:r>
      <w:r w:rsidRPr="00375AA0">
        <w:rPr>
          <w:rFonts w:ascii="Times New Roman" w:eastAsia="Times New Roman" w:hAnsi="Times New Roman" w:cs="Times New Roman"/>
          <w:kern w:val="0"/>
          <w:sz w:val="24"/>
          <w:szCs w:val="24"/>
          <w:lang w:eastAsia="en-GB"/>
          <w14:ligatures w14:val="none"/>
        </w:rPr>
        <w:t>:</w:t>
      </w:r>
    </w:p>
    <w:p w14:paraId="528B3215" w14:textId="77777777" w:rsidR="00375AA0" w:rsidRPr="00375AA0" w:rsidRDefault="00375AA0" w:rsidP="005C044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Revenue Figures</w:t>
      </w:r>
      <w:r w:rsidRPr="00375AA0">
        <w:rPr>
          <w:rFonts w:ascii="Times New Roman" w:eastAsia="Times New Roman" w:hAnsi="Times New Roman" w:cs="Times New Roman"/>
          <w:kern w:val="0"/>
          <w:sz w:val="24"/>
          <w:szCs w:val="24"/>
          <w:lang w:eastAsia="en-GB"/>
          <w14:ligatures w14:val="none"/>
        </w:rPr>
        <w:t xml:space="preserve"> were viewed as indicators of </w:t>
      </w:r>
      <w:r w:rsidRPr="00375AA0">
        <w:rPr>
          <w:rFonts w:ascii="Times New Roman" w:eastAsia="Times New Roman" w:hAnsi="Times New Roman" w:cs="Times New Roman"/>
          <w:b/>
          <w:bCs/>
          <w:kern w:val="0"/>
          <w:sz w:val="24"/>
          <w:szCs w:val="24"/>
          <w:lang w:eastAsia="en-GB"/>
          <w14:ligatures w14:val="none"/>
        </w:rPr>
        <w:t>wallet drain</w:t>
      </w:r>
      <w:r w:rsidRPr="00375AA0">
        <w:rPr>
          <w:rFonts w:ascii="Times New Roman" w:eastAsia="Times New Roman" w:hAnsi="Times New Roman" w:cs="Times New Roman"/>
          <w:kern w:val="0"/>
          <w:sz w:val="24"/>
          <w:szCs w:val="24"/>
          <w:lang w:eastAsia="en-GB"/>
          <w14:ligatures w14:val="none"/>
        </w:rPr>
        <w:t>.</w:t>
      </w:r>
    </w:p>
    <w:p w14:paraId="410D2B0B" w14:textId="0BE77640" w:rsidR="00375AA0" w:rsidRPr="00375AA0" w:rsidRDefault="00375AA0" w:rsidP="005C044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Demographic Splits</w:t>
      </w:r>
      <w:r w:rsidRPr="00375AA0">
        <w:rPr>
          <w:rFonts w:ascii="Times New Roman" w:eastAsia="Times New Roman" w:hAnsi="Times New Roman" w:cs="Times New Roman"/>
          <w:kern w:val="0"/>
          <w:sz w:val="24"/>
          <w:szCs w:val="24"/>
          <w:lang w:eastAsia="en-GB"/>
          <w14:ligatures w14:val="none"/>
        </w:rPr>
        <w:t xml:space="preserve"> (Urban vs. Rural) were </w:t>
      </w:r>
      <w:r w:rsidRPr="00375AA0">
        <w:rPr>
          <w:rFonts w:ascii="Times New Roman" w:eastAsia="Times New Roman" w:hAnsi="Times New Roman" w:cs="Times New Roman"/>
          <w:kern w:val="0"/>
          <w:sz w:val="24"/>
          <w:szCs w:val="24"/>
          <w:lang w:eastAsia="en-GB"/>
          <w14:ligatures w14:val="none"/>
        </w:rPr>
        <w:t>analysed</w:t>
      </w:r>
      <w:r w:rsidRPr="00375AA0">
        <w:rPr>
          <w:rFonts w:ascii="Times New Roman" w:eastAsia="Times New Roman" w:hAnsi="Times New Roman" w:cs="Times New Roman"/>
          <w:kern w:val="0"/>
          <w:sz w:val="24"/>
          <w:szCs w:val="24"/>
          <w:lang w:eastAsia="en-GB"/>
          <w14:ligatures w14:val="none"/>
        </w:rPr>
        <w:t xml:space="preserve"> as </w:t>
      </w:r>
      <w:r w:rsidRPr="00375AA0">
        <w:rPr>
          <w:rFonts w:ascii="Times New Roman" w:eastAsia="Times New Roman" w:hAnsi="Times New Roman" w:cs="Times New Roman"/>
          <w:b/>
          <w:bCs/>
          <w:kern w:val="0"/>
          <w:sz w:val="24"/>
          <w:szCs w:val="24"/>
          <w:lang w:eastAsia="en-GB"/>
          <w14:ligatures w14:val="none"/>
        </w:rPr>
        <w:t>vulnerability indices</w:t>
      </w:r>
      <w:r w:rsidRPr="00375AA0">
        <w:rPr>
          <w:rFonts w:ascii="Times New Roman" w:eastAsia="Times New Roman" w:hAnsi="Times New Roman" w:cs="Times New Roman"/>
          <w:kern w:val="0"/>
          <w:sz w:val="24"/>
          <w:szCs w:val="24"/>
          <w:lang w:eastAsia="en-GB"/>
          <w14:ligatures w14:val="none"/>
        </w:rPr>
        <w:t>.</w:t>
      </w:r>
    </w:p>
    <w:p w14:paraId="31390F8D" w14:textId="77777777" w:rsidR="00375AA0" w:rsidRPr="00375AA0" w:rsidRDefault="00375AA0" w:rsidP="005C04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375AA0">
        <w:rPr>
          <w:rFonts w:ascii="Times New Roman" w:eastAsia="Times New Roman" w:hAnsi="Times New Roman" w:cs="Times New Roman"/>
          <w:b/>
          <w:bCs/>
          <w:kern w:val="0"/>
          <w:sz w:val="27"/>
          <w:szCs w:val="27"/>
          <w:lang w:eastAsia="en-GB"/>
          <w14:ligatures w14:val="none"/>
        </w:rPr>
        <w:t>2.2 Exploratory Data Strategy (EDS)</w:t>
      </w:r>
    </w:p>
    <w:p w14:paraId="751663CB"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The core of our problem identification phase was the EDS. This was not about proving a hypothesis immediately, but about "listening" to the data. We broke this down into three investigative stages:</w:t>
      </w:r>
    </w:p>
    <w:p w14:paraId="76FF5F33" w14:textId="77777777" w:rsidR="00375AA0" w:rsidRPr="00375AA0" w:rsidRDefault="00375AA0" w:rsidP="005C044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Stage 1: Cleaning and "Humanizing" the Variables</w:t>
      </w:r>
    </w:p>
    <w:p w14:paraId="3DF41C7E"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Raw data is often noisy and detached. In this stage, we scrubbed the dataset to ensure every number reflected reality.</w:t>
      </w:r>
    </w:p>
    <w:p w14:paraId="58F5D614" w14:textId="77777777" w:rsidR="00375AA0" w:rsidRPr="00375AA0" w:rsidRDefault="00375AA0" w:rsidP="005C044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Anomaly Detection:</w:t>
      </w:r>
      <w:r w:rsidRPr="00375AA0">
        <w:rPr>
          <w:rFonts w:ascii="Times New Roman" w:eastAsia="Times New Roman" w:hAnsi="Times New Roman" w:cs="Times New Roman"/>
          <w:kern w:val="0"/>
          <w:sz w:val="24"/>
          <w:szCs w:val="24"/>
          <w:lang w:eastAsia="en-GB"/>
          <w14:ligatures w14:val="none"/>
        </w:rPr>
        <w:t xml:space="preserve"> We encountered data irregularities, such as negative percentage values in the Chandigarh Rural subset (e.g., -31.58%). Instead of discarding this data, we applied a clipping algorithm to normalize these values to zero, ensuring that our final analysis did not skew the risk profile of these regions.</w:t>
      </w:r>
    </w:p>
    <w:p w14:paraId="6DAC0ABB" w14:textId="09C8989F" w:rsidR="00226D02" w:rsidRPr="00375AA0" w:rsidRDefault="00375AA0" w:rsidP="00226D02">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The "Total" Perspective:</w:t>
      </w:r>
      <w:r w:rsidRPr="00375AA0">
        <w:rPr>
          <w:rFonts w:ascii="Times New Roman" w:eastAsia="Times New Roman" w:hAnsi="Times New Roman" w:cs="Times New Roman"/>
          <w:kern w:val="0"/>
          <w:sz w:val="24"/>
          <w:szCs w:val="24"/>
          <w:lang w:eastAsia="en-GB"/>
          <w14:ligatures w14:val="none"/>
        </w:rPr>
        <w:t xml:space="preserve"> We filtered out aggregate national averages early on to focus on state-level disparities, allowing us to see the specific burden on individual communities rather than a generalized "Indian" average.</w:t>
      </w:r>
    </w:p>
    <w:p w14:paraId="4DAC85BA" w14:textId="77777777" w:rsidR="00375AA0" w:rsidRPr="00375AA0" w:rsidRDefault="00375AA0" w:rsidP="005C044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Stage 2: Pattern Recognition (The "Drain" Effect)</w:t>
      </w:r>
    </w:p>
    <w:p w14:paraId="6E931A37"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We used visual EDS techniques to identify where the economic burden was heaviest.</w:t>
      </w:r>
    </w:p>
    <w:p w14:paraId="1C61B488" w14:textId="77777777" w:rsidR="00375AA0" w:rsidRDefault="00375AA0" w:rsidP="005C044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The Rural Vulnerability:</w:t>
      </w:r>
      <w:r w:rsidRPr="00375AA0">
        <w:rPr>
          <w:rFonts w:ascii="Times New Roman" w:eastAsia="Times New Roman" w:hAnsi="Times New Roman" w:cs="Times New Roman"/>
          <w:kern w:val="0"/>
          <w:sz w:val="24"/>
          <w:szCs w:val="24"/>
          <w:lang w:eastAsia="en-GB"/>
          <w14:ligatures w14:val="none"/>
        </w:rPr>
        <w:t xml:space="preserve"> Our analysis revealed a stark divide. Rural India showed a consumption rate of </w:t>
      </w:r>
      <w:r w:rsidRPr="00375AA0">
        <w:rPr>
          <w:rFonts w:ascii="Times New Roman" w:eastAsia="Times New Roman" w:hAnsi="Times New Roman" w:cs="Times New Roman"/>
          <w:b/>
          <w:bCs/>
          <w:kern w:val="0"/>
          <w:sz w:val="24"/>
          <w:szCs w:val="24"/>
          <w:lang w:eastAsia="en-GB"/>
          <w14:ligatures w14:val="none"/>
        </w:rPr>
        <w:t>19.92% for men</w:t>
      </w:r>
      <w:r w:rsidRPr="00375AA0">
        <w:rPr>
          <w:rFonts w:ascii="Times New Roman" w:eastAsia="Times New Roman" w:hAnsi="Times New Roman" w:cs="Times New Roman"/>
          <w:kern w:val="0"/>
          <w:sz w:val="24"/>
          <w:szCs w:val="24"/>
          <w:lang w:eastAsia="en-GB"/>
          <w14:ligatures w14:val="none"/>
        </w:rPr>
        <w:t xml:space="preserve">, significantly higher than the </w:t>
      </w:r>
      <w:r w:rsidRPr="00375AA0">
        <w:rPr>
          <w:rFonts w:ascii="Times New Roman" w:eastAsia="Times New Roman" w:hAnsi="Times New Roman" w:cs="Times New Roman"/>
          <w:b/>
          <w:bCs/>
          <w:kern w:val="0"/>
          <w:sz w:val="24"/>
          <w:szCs w:val="24"/>
          <w:lang w:eastAsia="en-GB"/>
          <w14:ligatures w14:val="none"/>
        </w:rPr>
        <w:t>16.53%</w:t>
      </w:r>
      <w:r w:rsidRPr="00375AA0">
        <w:rPr>
          <w:rFonts w:ascii="Times New Roman" w:eastAsia="Times New Roman" w:hAnsi="Times New Roman" w:cs="Times New Roman"/>
          <w:kern w:val="0"/>
          <w:sz w:val="24"/>
          <w:szCs w:val="24"/>
          <w:lang w:eastAsia="en-GB"/>
          <w14:ligatures w14:val="none"/>
        </w:rPr>
        <w:t xml:space="preserve"> found in urban </w:t>
      </w:r>
      <w:proofErr w:type="spellStart"/>
      <w:r w:rsidRPr="00375AA0">
        <w:rPr>
          <w:rFonts w:ascii="Times New Roman" w:eastAsia="Times New Roman" w:hAnsi="Times New Roman" w:cs="Times New Roman"/>
          <w:kern w:val="0"/>
          <w:sz w:val="24"/>
          <w:szCs w:val="24"/>
          <w:lang w:eastAsia="en-GB"/>
          <w14:ligatures w14:val="none"/>
        </w:rPr>
        <w:t>centers</w:t>
      </w:r>
      <w:proofErr w:type="spellEnd"/>
      <w:r w:rsidRPr="00375AA0">
        <w:rPr>
          <w:rFonts w:ascii="Times New Roman" w:eastAsia="Times New Roman" w:hAnsi="Times New Roman" w:cs="Times New Roman"/>
          <w:kern w:val="0"/>
          <w:sz w:val="24"/>
          <w:szCs w:val="24"/>
          <w:lang w:eastAsia="en-GB"/>
          <w14:ligatures w14:val="none"/>
        </w:rPr>
        <w:t>. This 3.4% gap represents millions of families in agricultural belts where cash flow is irregular, making the "alcohol drain" on savings far more damaging than in salaried urban households.</w:t>
      </w:r>
    </w:p>
    <w:p w14:paraId="42347A81" w14:textId="77777777" w:rsidR="00FA229F" w:rsidRDefault="0023590F" w:rsidP="00FA229F">
      <w:pPr>
        <w:keepNext/>
        <w:spacing w:before="100" w:beforeAutospacing="1" w:after="100" w:afterAutospacing="1" w:line="240" w:lineRule="auto"/>
        <w:jc w:val="center"/>
      </w:pPr>
      <w:r>
        <w:rPr>
          <w:rFonts w:ascii="Times New Roman" w:eastAsia="Times New Roman" w:hAnsi="Times New Roman" w:cs="Times New Roman"/>
          <w:noProof/>
          <w:kern w:val="0"/>
          <w:sz w:val="24"/>
          <w:szCs w:val="24"/>
          <w:lang w:eastAsia="en-GB"/>
        </w:rPr>
        <w:lastRenderedPageBreak/>
        <w:drawing>
          <wp:inline distT="0" distB="0" distL="0" distR="0" wp14:anchorId="20C1CA9B" wp14:editId="624E6772">
            <wp:extent cx="4961299" cy="2865120"/>
            <wp:effectExtent l="0" t="0" r="0" b="0"/>
            <wp:docPr id="1316208348" name="Picture 2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08348" name="Picture 21" descr="A screenshot of a graph"/>
                    <pic:cNvPicPr/>
                  </pic:nvPicPr>
                  <pic:blipFill>
                    <a:blip r:embed="rId9">
                      <a:extLst>
                        <a:ext uri="{28A0092B-C50C-407E-A947-70E740481C1C}">
                          <a14:useLocalDpi xmlns:a14="http://schemas.microsoft.com/office/drawing/2010/main" val="0"/>
                        </a:ext>
                      </a:extLst>
                    </a:blip>
                    <a:stretch>
                      <a:fillRect/>
                    </a:stretch>
                  </pic:blipFill>
                  <pic:spPr>
                    <a:xfrm>
                      <a:off x="0" y="0"/>
                      <a:ext cx="4979370" cy="2875556"/>
                    </a:xfrm>
                    <a:prstGeom prst="rect">
                      <a:avLst/>
                    </a:prstGeom>
                  </pic:spPr>
                </pic:pic>
              </a:graphicData>
            </a:graphic>
          </wp:inline>
        </w:drawing>
      </w:r>
    </w:p>
    <w:p w14:paraId="458C2B1A" w14:textId="6F4080BC" w:rsidR="0023590F" w:rsidRPr="00375AA0" w:rsidRDefault="00FA229F" w:rsidP="00FA229F">
      <w:pPr>
        <w:pStyle w:val="Caption"/>
        <w:jc w:val="center"/>
        <w:rPr>
          <w:rFonts w:ascii="Times New Roman" w:eastAsia="Times New Roman" w:hAnsi="Times New Roman" w:cs="Times New Roman"/>
          <w:kern w:val="0"/>
          <w:sz w:val="24"/>
          <w:szCs w:val="24"/>
          <w:lang w:eastAsia="en-GB"/>
          <w14:ligatures w14:val="none"/>
        </w:rPr>
      </w:pPr>
      <w:r>
        <w:t xml:space="preserve">Figure </w:t>
      </w:r>
      <w:fldSimple w:instr=" SEQ Figure \* ARABIC ">
        <w:r>
          <w:rPr>
            <w:noProof/>
          </w:rPr>
          <w:t>3</w:t>
        </w:r>
      </w:fldSimple>
      <w:r>
        <w:t>: Urban vs Rural Alcohol consumption</w:t>
      </w:r>
    </w:p>
    <w:p w14:paraId="6B578551" w14:textId="77777777" w:rsidR="00375AA0" w:rsidRPr="00375AA0" w:rsidRDefault="00375AA0" w:rsidP="005C044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The Gender Signal:</w:t>
      </w:r>
      <w:r w:rsidRPr="00375AA0">
        <w:rPr>
          <w:rFonts w:ascii="Times New Roman" w:eastAsia="Times New Roman" w:hAnsi="Times New Roman" w:cs="Times New Roman"/>
          <w:kern w:val="0"/>
          <w:sz w:val="24"/>
          <w:szCs w:val="24"/>
          <w:lang w:eastAsia="en-GB"/>
          <w14:ligatures w14:val="none"/>
        </w:rPr>
        <w:t xml:space="preserve"> While male consumption dominates, our EDS highlighted specific "red flag" states like </w:t>
      </w:r>
      <w:r w:rsidRPr="00375AA0">
        <w:rPr>
          <w:rFonts w:ascii="Times New Roman" w:eastAsia="Times New Roman" w:hAnsi="Times New Roman" w:cs="Times New Roman"/>
          <w:b/>
          <w:bCs/>
          <w:kern w:val="0"/>
          <w:sz w:val="24"/>
          <w:szCs w:val="24"/>
          <w:lang w:eastAsia="en-GB"/>
          <w14:ligatures w14:val="none"/>
        </w:rPr>
        <w:t>Arunachal Pradesh</w:t>
      </w:r>
      <w:r w:rsidRPr="00375AA0">
        <w:rPr>
          <w:rFonts w:ascii="Times New Roman" w:eastAsia="Times New Roman" w:hAnsi="Times New Roman" w:cs="Times New Roman"/>
          <w:kern w:val="0"/>
          <w:sz w:val="24"/>
          <w:szCs w:val="24"/>
          <w:lang w:eastAsia="en-GB"/>
          <w14:ligatures w14:val="none"/>
        </w:rPr>
        <w:t xml:space="preserve">, where female consumption (24%) is exceptionally high. This signals a need for gender-specific family </w:t>
      </w:r>
      <w:proofErr w:type="spellStart"/>
      <w:r w:rsidRPr="00375AA0">
        <w:rPr>
          <w:rFonts w:ascii="Times New Roman" w:eastAsia="Times New Roman" w:hAnsi="Times New Roman" w:cs="Times New Roman"/>
          <w:kern w:val="0"/>
          <w:sz w:val="24"/>
          <w:szCs w:val="24"/>
          <w:lang w:eastAsia="en-GB"/>
          <w14:ligatures w14:val="none"/>
        </w:rPr>
        <w:t>counseling</w:t>
      </w:r>
      <w:proofErr w:type="spellEnd"/>
      <w:r w:rsidRPr="00375AA0">
        <w:rPr>
          <w:rFonts w:ascii="Times New Roman" w:eastAsia="Times New Roman" w:hAnsi="Times New Roman" w:cs="Times New Roman"/>
          <w:kern w:val="0"/>
          <w:sz w:val="24"/>
          <w:szCs w:val="24"/>
          <w:lang w:eastAsia="en-GB"/>
          <w14:ligatures w14:val="none"/>
        </w:rPr>
        <w:t xml:space="preserve"> that generic policies often miss.</w:t>
      </w:r>
    </w:p>
    <w:p w14:paraId="17A2724F" w14:textId="77777777" w:rsidR="00375AA0" w:rsidRPr="00375AA0" w:rsidRDefault="00375AA0" w:rsidP="005C044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Stage 3: Clustering Risk Zones (Machine Learning)</w:t>
      </w:r>
    </w:p>
    <w:p w14:paraId="4E07FA2B"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 xml:space="preserve">Finally, we moved beyond simple averages to identify "clusters" of risk. Using the </w:t>
      </w:r>
      <w:r w:rsidRPr="00375AA0">
        <w:rPr>
          <w:rFonts w:ascii="Times New Roman" w:eastAsia="Times New Roman" w:hAnsi="Times New Roman" w:cs="Times New Roman"/>
          <w:b/>
          <w:bCs/>
          <w:kern w:val="0"/>
          <w:sz w:val="24"/>
          <w:szCs w:val="24"/>
          <w:lang w:eastAsia="en-GB"/>
          <w14:ligatures w14:val="none"/>
        </w:rPr>
        <w:t>K-Means Clustering</w:t>
      </w:r>
      <w:r w:rsidRPr="00375AA0">
        <w:rPr>
          <w:rFonts w:ascii="Times New Roman" w:eastAsia="Times New Roman" w:hAnsi="Times New Roman" w:cs="Times New Roman"/>
          <w:kern w:val="0"/>
          <w:sz w:val="24"/>
          <w:szCs w:val="24"/>
          <w:lang w:eastAsia="en-GB"/>
          <w14:ligatures w14:val="none"/>
        </w:rPr>
        <w:t xml:space="preserve"> algorithm, we grouped Indian states into three distinct zones based on consumption intensity:</w:t>
      </w:r>
    </w:p>
    <w:p w14:paraId="231529AD" w14:textId="77777777" w:rsidR="00375AA0" w:rsidRPr="00375AA0" w:rsidRDefault="00375AA0" w:rsidP="005C044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High Risk Zone (Cluster 2):</w:t>
      </w:r>
      <w:r w:rsidRPr="00375AA0">
        <w:rPr>
          <w:rFonts w:ascii="Times New Roman" w:eastAsia="Times New Roman" w:hAnsi="Times New Roman" w:cs="Times New Roman"/>
          <w:kern w:val="0"/>
          <w:sz w:val="24"/>
          <w:szCs w:val="24"/>
          <w:lang w:eastAsia="en-GB"/>
          <w14:ligatures w14:val="none"/>
        </w:rPr>
        <w:t xml:space="preserve"> States like </w:t>
      </w:r>
      <w:r w:rsidRPr="00375AA0">
        <w:rPr>
          <w:rFonts w:ascii="Times New Roman" w:eastAsia="Times New Roman" w:hAnsi="Times New Roman" w:cs="Times New Roman"/>
          <w:b/>
          <w:bCs/>
          <w:kern w:val="0"/>
          <w:sz w:val="24"/>
          <w:szCs w:val="24"/>
          <w:lang w:eastAsia="en-GB"/>
          <w14:ligatures w14:val="none"/>
        </w:rPr>
        <w:t>Arunachal Pradesh and Sikkim</w:t>
      </w:r>
      <w:r w:rsidRPr="00375AA0">
        <w:rPr>
          <w:rFonts w:ascii="Times New Roman" w:eastAsia="Times New Roman" w:hAnsi="Times New Roman" w:cs="Times New Roman"/>
          <w:kern w:val="0"/>
          <w:sz w:val="24"/>
          <w:szCs w:val="24"/>
          <w:lang w:eastAsia="en-GB"/>
          <w14:ligatures w14:val="none"/>
        </w:rPr>
        <w:t>, where male consumption exceeds 45%. Here, the public health crisis is immediate and severe.</w:t>
      </w:r>
    </w:p>
    <w:p w14:paraId="7DEC9475" w14:textId="77777777" w:rsidR="00375AA0" w:rsidRPr="00375AA0" w:rsidRDefault="00375AA0" w:rsidP="005C044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Moderate Risk Zone (Cluster 0):</w:t>
      </w:r>
      <w:r w:rsidRPr="00375AA0">
        <w:rPr>
          <w:rFonts w:ascii="Times New Roman" w:eastAsia="Times New Roman" w:hAnsi="Times New Roman" w:cs="Times New Roman"/>
          <w:kern w:val="0"/>
          <w:sz w:val="24"/>
          <w:szCs w:val="24"/>
          <w:lang w:eastAsia="en-GB"/>
          <w14:ligatures w14:val="none"/>
        </w:rPr>
        <w:t xml:space="preserve"> States like </w:t>
      </w:r>
      <w:r w:rsidRPr="00375AA0">
        <w:rPr>
          <w:rFonts w:ascii="Times New Roman" w:eastAsia="Times New Roman" w:hAnsi="Times New Roman" w:cs="Times New Roman"/>
          <w:b/>
          <w:bCs/>
          <w:kern w:val="0"/>
          <w:sz w:val="24"/>
          <w:szCs w:val="24"/>
          <w:lang w:eastAsia="en-GB"/>
          <w14:ligatures w14:val="none"/>
        </w:rPr>
        <w:t>Telangana and Goa</w:t>
      </w:r>
      <w:r w:rsidRPr="00375AA0">
        <w:rPr>
          <w:rFonts w:ascii="Times New Roman" w:eastAsia="Times New Roman" w:hAnsi="Times New Roman" w:cs="Times New Roman"/>
          <w:kern w:val="0"/>
          <w:sz w:val="24"/>
          <w:szCs w:val="24"/>
          <w:lang w:eastAsia="en-GB"/>
          <w14:ligatures w14:val="none"/>
        </w:rPr>
        <w:t>, where consumption hovers around 34%. In these regions, the economic "drain" often masks high per-capita income, creating a "wealth trap" for middle-income families.</w:t>
      </w:r>
    </w:p>
    <w:p w14:paraId="780838B2" w14:textId="77777777" w:rsidR="00375AA0" w:rsidRDefault="00375AA0" w:rsidP="005C044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b/>
          <w:bCs/>
          <w:kern w:val="0"/>
          <w:sz w:val="24"/>
          <w:szCs w:val="24"/>
          <w:lang w:eastAsia="en-GB"/>
          <w14:ligatures w14:val="none"/>
        </w:rPr>
        <w:t>Low Risk Zone (Cluster 1):</w:t>
      </w:r>
      <w:r w:rsidRPr="00375AA0">
        <w:rPr>
          <w:rFonts w:ascii="Times New Roman" w:eastAsia="Times New Roman" w:hAnsi="Times New Roman" w:cs="Times New Roman"/>
          <w:kern w:val="0"/>
          <w:sz w:val="24"/>
          <w:szCs w:val="24"/>
          <w:lang w:eastAsia="en-GB"/>
          <w14:ligatures w14:val="none"/>
        </w:rPr>
        <w:t xml:space="preserve"> The majority of states, where consumption is lower (~18%) but still significant enough to impact family savings.</w:t>
      </w:r>
    </w:p>
    <w:p w14:paraId="3A297717" w14:textId="77777777" w:rsidR="00FA229F" w:rsidRDefault="0023590F" w:rsidP="00FA229F">
      <w:pPr>
        <w:keepNext/>
        <w:spacing w:before="100" w:beforeAutospacing="1" w:after="100" w:afterAutospacing="1" w:line="240" w:lineRule="auto"/>
        <w:jc w:val="center"/>
      </w:pPr>
      <w:r>
        <w:rPr>
          <w:rFonts w:ascii="Times New Roman" w:eastAsia="Times New Roman" w:hAnsi="Times New Roman" w:cs="Times New Roman"/>
          <w:noProof/>
          <w:kern w:val="0"/>
          <w:sz w:val="24"/>
          <w:szCs w:val="24"/>
          <w:lang w:eastAsia="en-GB"/>
        </w:rPr>
        <w:lastRenderedPageBreak/>
        <w:drawing>
          <wp:inline distT="0" distB="0" distL="0" distR="0" wp14:anchorId="6AF5E3E7" wp14:editId="7E5808EF">
            <wp:extent cx="5243078" cy="3146079"/>
            <wp:effectExtent l="0" t="0" r="0" b="0"/>
            <wp:docPr id="1836056735" name="Picture 22"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56735" name="Picture 22" descr="A graph of a graph"/>
                    <pic:cNvPicPr/>
                  </pic:nvPicPr>
                  <pic:blipFill>
                    <a:blip r:embed="rId10">
                      <a:extLst>
                        <a:ext uri="{28A0092B-C50C-407E-A947-70E740481C1C}">
                          <a14:useLocalDpi xmlns:a14="http://schemas.microsoft.com/office/drawing/2010/main" val="0"/>
                        </a:ext>
                      </a:extLst>
                    </a:blip>
                    <a:stretch>
                      <a:fillRect/>
                    </a:stretch>
                  </pic:blipFill>
                  <pic:spPr>
                    <a:xfrm>
                      <a:off x="0" y="0"/>
                      <a:ext cx="5248809" cy="3149518"/>
                    </a:xfrm>
                    <a:prstGeom prst="rect">
                      <a:avLst/>
                    </a:prstGeom>
                  </pic:spPr>
                </pic:pic>
              </a:graphicData>
            </a:graphic>
          </wp:inline>
        </w:drawing>
      </w:r>
    </w:p>
    <w:p w14:paraId="50CDE400" w14:textId="0B93EEDF" w:rsidR="0023590F" w:rsidRPr="00375AA0" w:rsidRDefault="00FA229F" w:rsidP="00FA229F">
      <w:pPr>
        <w:pStyle w:val="Caption"/>
        <w:jc w:val="center"/>
        <w:rPr>
          <w:rFonts w:ascii="Times New Roman" w:eastAsia="Times New Roman" w:hAnsi="Times New Roman" w:cs="Times New Roman"/>
          <w:kern w:val="0"/>
          <w:sz w:val="24"/>
          <w:szCs w:val="24"/>
          <w:lang w:eastAsia="en-GB"/>
          <w14:ligatures w14:val="none"/>
        </w:rPr>
      </w:pPr>
      <w:r>
        <w:t xml:space="preserve">Figure </w:t>
      </w:r>
      <w:fldSimple w:instr=" SEQ Figure \* ARABIC ">
        <w:r>
          <w:rPr>
            <w:noProof/>
          </w:rPr>
          <w:t>4</w:t>
        </w:r>
      </w:fldSimple>
      <w:r>
        <w:t>: Risk K-Cluster</w:t>
      </w:r>
    </w:p>
    <w:p w14:paraId="6E740FF4" w14:textId="77777777" w:rsidR="00375AA0" w:rsidRPr="00375AA0" w:rsidRDefault="00375AA0" w:rsidP="005C044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375AA0">
        <w:rPr>
          <w:rFonts w:ascii="Times New Roman" w:eastAsia="Times New Roman" w:hAnsi="Times New Roman" w:cs="Times New Roman"/>
          <w:b/>
          <w:bCs/>
          <w:kern w:val="0"/>
          <w:sz w:val="27"/>
          <w:szCs w:val="27"/>
          <w:lang w:eastAsia="en-GB"/>
          <w14:ligatures w14:val="none"/>
        </w:rPr>
        <w:t>2.3 Synthesis: From Numbers to Narrative</w:t>
      </w:r>
    </w:p>
    <w:p w14:paraId="7594F741" w14:textId="77777777" w:rsidR="00375AA0" w:rsidRPr="00375AA0"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 xml:space="preserve">This methodology allowed us to move from generic observations to specific problem identification. We didn't just find that "people drink alcohol"; we found that the financial and health costs fall disproportionately on </w:t>
      </w:r>
      <w:r w:rsidRPr="00375AA0">
        <w:rPr>
          <w:rFonts w:ascii="Times New Roman" w:eastAsia="Times New Roman" w:hAnsi="Times New Roman" w:cs="Times New Roman"/>
          <w:b/>
          <w:bCs/>
          <w:kern w:val="0"/>
          <w:sz w:val="24"/>
          <w:szCs w:val="24"/>
          <w:lang w:eastAsia="en-GB"/>
          <w14:ligatures w14:val="none"/>
        </w:rPr>
        <w:t>rural families</w:t>
      </w:r>
      <w:r w:rsidRPr="00375AA0">
        <w:rPr>
          <w:rFonts w:ascii="Times New Roman" w:eastAsia="Times New Roman" w:hAnsi="Times New Roman" w:cs="Times New Roman"/>
          <w:kern w:val="0"/>
          <w:sz w:val="24"/>
          <w:szCs w:val="24"/>
          <w:lang w:eastAsia="en-GB"/>
          <w14:ligatures w14:val="none"/>
        </w:rPr>
        <w:t xml:space="preserve"> and </w:t>
      </w:r>
      <w:r w:rsidRPr="00375AA0">
        <w:rPr>
          <w:rFonts w:ascii="Times New Roman" w:eastAsia="Times New Roman" w:hAnsi="Times New Roman" w:cs="Times New Roman"/>
          <w:b/>
          <w:bCs/>
          <w:kern w:val="0"/>
          <w:sz w:val="24"/>
          <w:szCs w:val="24"/>
          <w:lang w:eastAsia="en-GB"/>
          <w14:ligatures w14:val="none"/>
        </w:rPr>
        <w:t>high-prevalence tribal belts</w:t>
      </w:r>
      <w:r w:rsidRPr="00375AA0">
        <w:rPr>
          <w:rFonts w:ascii="Times New Roman" w:eastAsia="Times New Roman" w:hAnsi="Times New Roman" w:cs="Times New Roman"/>
          <w:kern w:val="0"/>
          <w:sz w:val="24"/>
          <w:szCs w:val="24"/>
          <w:lang w:eastAsia="en-GB"/>
          <w14:ligatures w14:val="none"/>
        </w:rPr>
        <w:t>.</w:t>
      </w:r>
    </w:p>
    <w:p w14:paraId="33CF3B32" w14:textId="2F0DD741" w:rsidR="00E7329A" w:rsidRDefault="00375AA0" w:rsidP="005C044F">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375AA0">
        <w:rPr>
          <w:rFonts w:ascii="Times New Roman" w:eastAsia="Times New Roman" w:hAnsi="Times New Roman" w:cs="Times New Roman"/>
          <w:kern w:val="0"/>
          <w:sz w:val="24"/>
          <w:szCs w:val="24"/>
          <w:lang w:eastAsia="en-GB"/>
          <w14:ligatures w14:val="none"/>
        </w:rPr>
        <w:t>By anchoring our study in this rigorous yet human-centric EDS framework, we ensured that the subsequent "Family Wealth Plan" (proposing the redirection of ₹3,000–₹5,000 monthly into SIPs) is not just theoretically sound, but deeply rooted in the lived reality of the Indian population.</w:t>
      </w:r>
    </w:p>
    <w:p w14:paraId="1C566A81" w14:textId="7173F088" w:rsidR="009472BC" w:rsidRPr="009472BC" w:rsidRDefault="009472BC" w:rsidP="00984176">
      <w:pPr>
        <w:spacing w:before="240"/>
        <w:rPr>
          <w:rFonts w:ascii="Times New Roman" w:hAnsi="Times New Roman" w:cs="Times New Roman"/>
          <w:b/>
          <w:bCs/>
          <w:color w:val="0070C0"/>
          <w:sz w:val="36"/>
          <w:szCs w:val="36"/>
        </w:rPr>
      </w:pPr>
      <w:r w:rsidRPr="009472BC">
        <w:rPr>
          <w:rFonts w:ascii="Times New Roman" w:hAnsi="Times New Roman" w:cs="Times New Roman"/>
          <w:b/>
          <w:bCs/>
          <w:color w:val="0070C0"/>
          <w:sz w:val="36"/>
          <w:szCs w:val="36"/>
        </w:rPr>
        <w:t xml:space="preserve">3. </w:t>
      </w:r>
      <w:r w:rsidRPr="00B5410F">
        <w:rPr>
          <w:rFonts w:ascii="Times New Roman" w:hAnsi="Times New Roman" w:cs="Times New Roman"/>
          <w:b/>
          <w:bCs/>
          <w:color w:val="0070C0"/>
          <w:sz w:val="36"/>
          <w:szCs w:val="36"/>
        </w:rPr>
        <w:t>Risk Categorization and Machine Learning Clusters</w:t>
      </w:r>
    </w:p>
    <w:p w14:paraId="3A409847" w14:textId="77777777" w:rsidR="009472BC" w:rsidRPr="009472BC" w:rsidRDefault="009472BC" w:rsidP="009472BC">
      <w:pPr>
        <w:jc w:val="both"/>
        <w:rPr>
          <w:rFonts w:ascii="Times New Roman" w:hAnsi="Times New Roman" w:cs="Times New Roman"/>
          <w:b/>
          <w:bCs/>
          <w:sz w:val="24"/>
          <w:szCs w:val="24"/>
        </w:rPr>
      </w:pPr>
      <w:r w:rsidRPr="009472BC">
        <w:rPr>
          <w:rFonts w:ascii="Times New Roman" w:hAnsi="Times New Roman" w:cs="Times New Roman"/>
          <w:b/>
          <w:bCs/>
          <w:sz w:val="24"/>
          <w:szCs w:val="24"/>
        </w:rPr>
        <w:t>3.1 The Rationale for Advanced Segmentation</w:t>
      </w:r>
    </w:p>
    <w:p w14:paraId="5B1EA539" w14:textId="64746D99"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 xml:space="preserve">In public health planning, a "one-size-fits-all" approach often fails to address the nuanced realities of diverse populations. While the national average for male alcohol consumption is approximately </w:t>
      </w:r>
      <w:r w:rsidR="00E039C0" w:rsidRPr="00E039C0">
        <w:rPr>
          <w:rFonts w:ascii="Times New Roman" w:eastAsiaTheme="minorEastAsia" w:hAnsi="Times New Roman" w:cs="Times New Roman"/>
          <w:sz w:val="24"/>
          <w:szCs w:val="24"/>
        </w:rPr>
        <w:t>18.77%,</w:t>
      </w:r>
      <w:r w:rsidRPr="009472BC">
        <w:rPr>
          <w:rFonts w:ascii="Times New Roman" w:hAnsi="Times New Roman" w:cs="Times New Roman"/>
          <w:sz w:val="24"/>
          <w:szCs w:val="24"/>
        </w:rPr>
        <w:t xml:space="preserve"> this figure is a mathematical abstraction that masks extreme regional variations. To move from generic awareness to precision intervention, we utilized </w:t>
      </w:r>
      <w:r w:rsidRPr="009472BC">
        <w:rPr>
          <w:rFonts w:ascii="Times New Roman" w:hAnsi="Times New Roman" w:cs="Times New Roman"/>
          <w:b/>
          <w:bCs/>
          <w:sz w:val="24"/>
          <w:szCs w:val="24"/>
        </w:rPr>
        <w:t>Unsupervised Machine Learning (K-Means Clustering)</w:t>
      </w:r>
      <w:r w:rsidRPr="009472BC">
        <w:rPr>
          <w:rFonts w:ascii="Times New Roman" w:hAnsi="Times New Roman" w:cs="Times New Roman"/>
          <w:sz w:val="24"/>
          <w:szCs w:val="24"/>
        </w:rPr>
        <w:t>. This allows the data to "self-organize" into distinct risk profiles, ensuring that policy recommendations are tailored to the specific socio-economic pressures of each region.</w:t>
      </w:r>
    </w:p>
    <w:p w14:paraId="47B85604" w14:textId="77777777" w:rsidR="005F6D89" w:rsidRDefault="005F6D89" w:rsidP="009472BC">
      <w:pPr>
        <w:jc w:val="both"/>
        <w:rPr>
          <w:rFonts w:ascii="Times New Roman" w:hAnsi="Times New Roman" w:cs="Times New Roman"/>
          <w:b/>
          <w:bCs/>
          <w:sz w:val="24"/>
          <w:szCs w:val="24"/>
        </w:rPr>
      </w:pPr>
    </w:p>
    <w:p w14:paraId="7EB0E2A4" w14:textId="77777777" w:rsidR="005F6D89" w:rsidRDefault="005F6D89" w:rsidP="009472BC">
      <w:pPr>
        <w:jc w:val="both"/>
        <w:rPr>
          <w:rFonts w:ascii="Times New Roman" w:hAnsi="Times New Roman" w:cs="Times New Roman"/>
          <w:b/>
          <w:bCs/>
          <w:sz w:val="24"/>
          <w:szCs w:val="24"/>
        </w:rPr>
      </w:pPr>
    </w:p>
    <w:p w14:paraId="5FD5FE31" w14:textId="77777777" w:rsidR="005F6D89" w:rsidRDefault="005F6D89" w:rsidP="009472BC">
      <w:pPr>
        <w:jc w:val="both"/>
        <w:rPr>
          <w:rFonts w:ascii="Times New Roman" w:hAnsi="Times New Roman" w:cs="Times New Roman"/>
          <w:b/>
          <w:bCs/>
          <w:sz w:val="24"/>
          <w:szCs w:val="24"/>
        </w:rPr>
      </w:pPr>
    </w:p>
    <w:p w14:paraId="41B555D9" w14:textId="16B95A9D" w:rsidR="009472BC" w:rsidRPr="009472BC" w:rsidRDefault="009472BC" w:rsidP="009472BC">
      <w:pPr>
        <w:jc w:val="both"/>
        <w:rPr>
          <w:rFonts w:ascii="Times New Roman" w:hAnsi="Times New Roman" w:cs="Times New Roman"/>
          <w:b/>
          <w:bCs/>
          <w:sz w:val="24"/>
          <w:szCs w:val="24"/>
        </w:rPr>
      </w:pPr>
      <w:r w:rsidRPr="009472BC">
        <w:rPr>
          <w:rFonts w:ascii="Times New Roman" w:hAnsi="Times New Roman" w:cs="Times New Roman"/>
          <w:b/>
          <w:bCs/>
          <w:sz w:val="24"/>
          <w:szCs w:val="24"/>
        </w:rPr>
        <w:lastRenderedPageBreak/>
        <w:t>3.2 Methodology: The Science of Similarity (EDS)</w:t>
      </w:r>
    </w:p>
    <w:p w14:paraId="64AB2D03"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The clustering process involved three critical technical steps:</w:t>
      </w:r>
    </w:p>
    <w:p w14:paraId="15EABB5C" w14:textId="77777777" w:rsidR="009472BC" w:rsidRPr="009472BC" w:rsidRDefault="009472BC" w:rsidP="009472BC">
      <w:pPr>
        <w:numPr>
          <w:ilvl w:val="0"/>
          <w:numId w:val="23"/>
        </w:numPr>
        <w:jc w:val="both"/>
        <w:rPr>
          <w:rFonts w:ascii="Times New Roman" w:hAnsi="Times New Roman" w:cs="Times New Roman"/>
          <w:sz w:val="24"/>
          <w:szCs w:val="24"/>
        </w:rPr>
      </w:pPr>
      <w:r w:rsidRPr="009472BC">
        <w:rPr>
          <w:rFonts w:ascii="Times New Roman" w:hAnsi="Times New Roman" w:cs="Times New Roman"/>
          <w:b/>
          <w:bCs/>
          <w:sz w:val="24"/>
          <w:szCs w:val="24"/>
        </w:rPr>
        <w:t>Feature Selection:</w:t>
      </w:r>
      <w:r w:rsidRPr="009472BC">
        <w:rPr>
          <w:rFonts w:ascii="Times New Roman" w:hAnsi="Times New Roman" w:cs="Times New Roman"/>
          <w:sz w:val="24"/>
          <w:szCs w:val="24"/>
        </w:rPr>
        <w:t xml:space="preserve"> We selected two primary features—Male Consumption % and Female Consumption %—to capture the full gender-dynamic of the household.</w:t>
      </w:r>
    </w:p>
    <w:p w14:paraId="69228825" w14:textId="77777777" w:rsidR="009472BC" w:rsidRPr="009472BC" w:rsidRDefault="009472BC" w:rsidP="009472BC">
      <w:pPr>
        <w:numPr>
          <w:ilvl w:val="0"/>
          <w:numId w:val="23"/>
        </w:numPr>
        <w:jc w:val="both"/>
        <w:rPr>
          <w:rFonts w:ascii="Times New Roman" w:hAnsi="Times New Roman" w:cs="Times New Roman"/>
          <w:sz w:val="24"/>
          <w:szCs w:val="24"/>
        </w:rPr>
      </w:pPr>
      <w:r w:rsidRPr="009472BC">
        <w:rPr>
          <w:rFonts w:ascii="Times New Roman" w:hAnsi="Times New Roman" w:cs="Times New Roman"/>
          <w:b/>
          <w:bCs/>
          <w:sz w:val="24"/>
          <w:szCs w:val="24"/>
        </w:rPr>
        <w:t>Data Normalization:</w:t>
      </w:r>
      <w:r w:rsidRPr="009472BC">
        <w:rPr>
          <w:rFonts w:ascii="Times New Roman" w:hAnsi="Times New Roman" w:cs="Times New Roman"/>
          <w:sz w:val="24"/>
          <w:szCs w:val="24"/>
        </w:rPr>
        <w:t xml:space="preserve"> Using </w:t>
      </w:r>
      <w:proofErr w:type="spellStart"/>
      <w:r w:rsidRPr="009472BC">
        <w:rPr>
          <w:rFonts w:ascii="Times New Roman" w:hAnsi="Times New Roman" w:cs="Times New Roman"/>
          <w:b/>
          <w:bCs/>
          <w:sz w:val="24"/>
          <w:szCs w:val="24"/>
        </w:rPr>
        <w:t>StandardScaler</w:t>
      </w:r>
      <w:proofErr w:type="spellEnd"/>
      <w:r w:rsidRPr="009472BC">
        <w:rPr>
          <w:rFonts w:ascii="Times New Roman" w:hAnsi="Times New Roman" w:cs="Times New Roman"/>
          <w:sz w:val="24"/>
          <w:szCs w:val="24"/>
        </w:rPr>
        <w:t>, we transformed the data to ensure that the higher magnitude of male consumption did not statistically "drown out" the critical, though lower, female consumption rates.</w:t>
      </w:r>
    </w:p>
    <w:p w14:paraId="6CCDD778" w14:textId="3DA36EC2" w:rsidR="009472BC" w:rsidRDefault="009472BC" w:rsidP="009472BC">
      <w:pPr>
        <w:numPr>
          <w:ilvl w:val="0"/>
          <w:numId w:val="23"/>
        </w:numPr>
        <w:jc w:val="both"/>
        <w:rPr>
          <w:rFonts w:ascii="Times New Roman" w:hAnsi="Times New Roman" w:cs="Times New Roman"/>
          <w:sz w:val="24"/>
          <w:szCs w:val="24"/>
        </w:rPr>
      </w:pPr>
      <w:r w:rsidRPr="009472BC">
        <w:rPr>
          <w:rFonts w:ascii="Times New Roman" w:hAnsi="Times New Roman" w:cs="Times New Roman"/>
          <w:b/>
          <w:bCs/>
          <w:sz w:val="24"/>
          <w:szCs w:val="24"/>
        </w:rPr>
        <w:t>Optimal Cluster Identification:</w:t>
      </w:r>
      <w:r w:rsidRPr="009472BC">
        <w:rPr>
          <w:rFonts w:ascii="Times New Roman" w:hAnsi="Times New Roman" w:cs="Times New Roman"/>
          <w:sz w:val="24"/>
          <w:szCs w:val="24"/>
        </w:rPr>
        <w:t xml:space="preserve"> We applied the </w:t>
      </w:r>
      <w:r w:rsidRPr="009472BC">
        <w:rPr>
          <w:rFonts w:ascii="Times New Roman" w:hAnsi="Times New Roman" w:cs="Times New Roman"/>
          <w:b/>
          <w:bCs/>
          <w:sz w:val="24"/>
          <w:szCs w:val="24"/>
        </w:rPr>
        <w:t>Elbow Method</w:t>
      </w:r>
      <w:r w:rsidRPr="009472BC">
        <w:rPr>
          <w:rFonts w:ascii="Times New Roman" w:hAnsi="Times New Roman" w:cs="Times New Roman"/>
          <w:sz w:val="24"/>
          <w:szCs w:val="24"/>
        </w:rPr>
        <w:t>, plotting the Within-Cluster Sum of Squares (WCSS). The "elbow" point was identified at K=3, signifying that Indian states naturally fall into three distinct intervention tiers.</w:t>
      </w:r>
    </w:p>
    <w:p w14:paraId="387BB634" w14:textId="77777777" w:rsidR="00FA229F" w:rsidRDefault="009472BC" w:rsidP="00FA229F">
      <w:pPr>
        <w:keepNext/>
      </w:pPr>
      <w:r w:rsidRPr="009472BC">
        <w:rPr>
          <w:rFonts w:ascii="Times New Roman" w:hAnsi="Times New Roman" w:cs="Times New Roman"/>
          <w:sz w:val="24"/>
          <w:szCs w:val="24"/>
        </w:rPr>
        <w:t>Statistical justification for a 3-cluster model showing the point of diminishing returns in variance reduction.</w:t>
      </w:r>
      <w:r w:rsidR="00C82832" w:rsidRPr="00C82832">
        <w:rPr>
          <w:rFonts w:ascii="Times New Roman" w:hAnsi="Times New Roman" w:cs="Times New Roman"/>
          <w:noProof/>
          <w:sz w:val="24"/>
          <w:szCs w:val="24"/>
        </w:rPr>
        <w:t xml:space="preserve"> </w:t>
      </w:r>
      <w:r w:rsidR="00C82832">
        <w:rPr>
          <w:rFonts w:ascii="Times New Roman" w:hAnsi="Times New Roman" w:cs="Times New Roman"/>
          <w:noProof/>
          <w:sz w:val="24"/>
          <w:szCs w:val="24"/>
        </w:rPr>
        <w:drawing>
          <wp:inline distT="0" distB="0" distL="0" distR="0" wp14:anchorId="0AE44A7F" wp14:editId="431B656E">
            <wp:extent cx="5730530" cy="3093928"/>
            <wp:effectExtent l="0" t="0" r="3810" b="0"/>
            <wp:docPr id="1929433886" name="Picture 11" descr="A graph showing the number of clu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3886" name="Picture 11" descr="A graph showing the number of clutters"/>
                    <pic:cNvPicPr/>
                  </pic:nvPicPr>
                  <pic:blipFill>
                    <a:blip r:embed="rId11">
                      <a:extLst>
                        <a:ext uri="{28A0092B-C50C-407E-A947-70E740481C1C}">
                          <a14:useLocalDpi xmlns:a14="http://schemas.microsoft.com/office/drawing/2010/main" val="0"/>
                        </a:ext>
                      </a:extLst>
                    </a:blip>
                    <a:stretch>
                      <a:fillRect/>
                    </a:stretch>
                  </pic:blipFill>
                  <pic:spPr>
                    <a:xfrm>
                      <a:off x="0" y="0"/>
                      <a:ext cx="5742878" cy="3100594"/>
                    </a:xfrm>
                    <a:prstGeom prst="rect">
                      <a:avLst/>
                    </a:prstGeom>
                  </pic:spPr>
                </pic:pic>
              </a:graphicData>
            </a:graphic>
          </wp:inline>
        </w:drawing>
      </w:r>
    </w:p>
    <w:p w14:paraId="75E55D26" w14:textId="18F2EA6A" w:rsidR="009472BC" w:rsidRPr="009472BC"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5</w:t>
        </w:r>
      </w:fldSimple>
      <w:r>
        <w:t xml:space="preserve">: </w:t>
      </w:r>
      <w:r w:rsidRPr="00EA2575">
        <w:t>Elbow method for optimal K</w:t>
      </w:r>
    </w:p>
    <w:p w14:paraId="073B2599" w14:textId="4FFA4F0A" w:rsidR="00B34ACE" w:rsidRPr="009472BC" w:rsidRDefault="009472BC" w:rsidP="009472BC">
      <w:pPr>
        <w:jc w:val="both"/>
        <w:rPr>
          <w:rFonts w:ascii="Times New Roman" w:hAnsi="Times New Roman" w:cs="Times New Roman"/>
          <w:b/>
          <w:bCs/>
          <w:sz w:val="24"/>
          <w:szCs w:val="24"/>
        </w:rPr>
      </w:pPr>
      <w:r w:rsidRPr="009472BC">
        <w:rPr>
          <w:rFonts w:ascii="Times New Roman" w:hAnsi="Times New Roman" w:cs="Times New Roman"/>
          <w:b/>
          <w:bCs/>
          <w:sz w:val="24"/>
          <w:szCs w:val="24"/>
        </w:rPr>
        <w:t>3.3 The Human Dimension of the Heatmap: Correlation Analysis</w:t>
      </w:r>
    </w:p>
    <w:p w14:paraId="30F01C72"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 xml:space="preserve">Before clustering, we performed a </w:t>
      </w:r>
      <w:r w:rsidRPr="009472BC">
        <w:rPr>
          <w:rFonts w:ascii="Times New Roman" w:hAnsi="Times New Roman" w:cs="Times New Roman"/>
          <w:b/>
          <w:bCs/>
          <w:sz w:val="24"/>
          <w:szCs w:val="24"/>
        </w:rPr>
        <w:t>Correlation Analysis</w:t>
      </w:r>
      <w:r w:rsidRPr="009472BC">
        <w:rPr>
          <w:rFonts w:ascii="Times New Roman" w:hAnsi="Times New Roman" w:cs="Times New Roman"/>
          <w:sz w:val="24"/>
          <w:szCs w:val="24"/>
        </w:rPr>
        <w:t xml:space="preserve"> to understand the link between male and female consumption patterns within a household.</w:t>
      </w:r>
    </w:p>
    <w:p w14:paraId="06800C59" w14:textId="77777777" w:rsidR="009472BC" w:rsidRPr="009472BC" w:rsidRDefault="009472BC" w:rsidP="009472BC">
      <w:pPr>
        <w:numPr>
          <w:ilvl w:val="0"/>
          <w:numId w:val="24"/>
        </w:numPr>
        <w:jc w:val="both"/>
        <w:rPr>
          <w:rFonts w:ascii="Times New Roman" w:hAnsi="Times New Roman" w:cs="Times New Roman"/>
          <w:sz w:val="24"/>
          <w:szCs w:val="24"/>
        </w:rPr>
      </w:pPr>
      <w:r w:rsidRPr="009472BC">
        <w:rPr>
          <w:rFonts w:ascii="Times New Roman" w:hAnsi="Times New Roman" w:cs="Times New Roman"/>
          <w:b/>
          <w:bCs/>
          <w:sz w:val="24"/>
          <w:szCs w:val="24"/>
        </w:rPr>
        <w:t>The Insight:</w:t>
      </w:r>
      <w:r w:rsidRPr="009472BC">
        <w:rPr>
          <w:rFonts w:ascii="Times New Roman" w:hAnsi="Times New Roman" w:cs="Times New Roman"/>
          <w:sz w:val="24"/>
          <w:szCs w:val="24"/>
        </w:rPr>
        <w:t xml:space="preserve"> A high positive correlation (visible in our heatmap) suggests that as male consumption rises in a state, female consumption often follows, though at a lower scale. This indicates that alcohol is not just an individual choice but an environmental habit that permeates the entire family unit.</w:t>
      </w:r>
    </w:p>
    <w:p w14:paraId="79665805" w14:textId="77777777" w:rsidR="009472BC" w:rsidRPr="009472BC" w:rsidRDefault="009472BC" w:rsidP="009472BC">
      <w:pPr>
        <w:numPr>
          <w:ilvl w:val="0"/>
          <w:numId w:val="24"/>
        </w:numPr>
        <w:jc w:val="both"/>
        <w:rPr>
          <w:rFonts w:ascii="Times New Roman" w:hAnsi="Times New Roman" w:cs="Times New Roman"/>
          <w:sz w:val="24"/>
          <w:szCs w:val="24"/>
        </w:rPr>
      </w:pPr>
      <w:r w:rsidRPr="009472BC">
        <w:rPr>
          <w:rFonts w:ascii="Times New Roman" w:hAnsi="Times New Roman" w:cs="Times New Roman"/>
          <w:b/>
          <w:bCs/>
          <w:sz w:val="24"/>
          <w:szCs w:val="24"/>
        </w:rPr>
        <w:t>Human Impact:</w:t>
      </w:r>
      <w:r w:rsidRPr="009472BC">
        <w:rPr>
          <w:rFonts w:ascii="Times New Roman" w:hAnsi="Times New Roman" w:cs="Times New Roman"/>
          <w:sz w:val="24"/>
          <w:szCs w:val="24"/>
        </w:rPr>
        <w:t xml:space="preserve"> This finding supports the need for "Family-Based </w:t>
      </w:r>
      <w:proofErr w:type="spellStart"/>
      <w:r w:rsidRPr="009472BC">
        <w:rPr>
          <w:rFonts w:ascii="Times New Roman" w:hAnsi="Times New Roman" w:cs="Times New Roman"/>
          <w:sz w:val="24"/>
          <w:szCs w:val="24"/>
        </w:rPr>
        <w:t>Counseling</w:t>
      </w:r>
      <w:proofErr w:type="spellEnd"/>
      <w:r w:rsidRPr="009472BC">
        <w:rPr>
          <w:rFonts w:ascii="Times New Roman" w:hAnsi="Times New Roman" w:cs="Times New Roman"/>
          <w:sz w:val="24"/>
          <w:szCs w:val="24"/>
        </w:rPr>
        <w:t>" rather than just individual de-addiction programs.</w:t>
      </w:r>
    </w:p>
    <w:p w14:paraId="4FF75908" w14:textId="77777777" w:rsidR="00984176" w:rsidRDefault="00984176" w:rsidP="009472BC">
      <w:pPr>
        <w:jc w:val="both"/>
        <w:rPr>
          <w:rFonts w:ascii="Times New Roman" w:hAnsi="Times New Roman" w:cs="Times New Roman"/>
          <w:sz w:val="24"/>
          <w:szCs w:val="24"/>
        </w:rPr>
      </w:pPr>
    </w:p>
    <w:p w14:paraId="557685B5" w14:textId="77777777" w:rsidR="00984176" w:rsidRDefault="00984176" w:rsidP="009472BC">
      <w:pPr>
        <w:jc w:val="both"/>
        <w:rPr>
          <w:rFonts w:ascii="Times New Roman" w:hAnsi="Times New Roman" w:cs="Times New Roman"/>
          <w:sz w:val="24"/>
          <w:szCs w:val="24"/>
        </w:rPr>
      </w:pPr>
    </w:p>
    <w:p w14:paraId="3F961B98" w14:textId="77777777" w:rsidR="00984176" w:rsidRDefault="00984176" w:rsidP="009472BC">
      <w:pPr>
        <w:jc w:val="both"/>
        <w:rPr>
          <w:rFonts w:ascii="Times New Roman" w:hAnsi="Times New Roman" w:cs="Times New Roman"/>
          <w:sz w:val="24"/>
          <w:szCs w:val="24"/>
        </w:rPr>
      </w:pPr>
    </w:p>
    <w:p w14:paraId="7E3933AA" w14:textId="3EF45CBA" w:rsid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Heatmap showing the strong statistical link between gender consumption patterns.</w:t>
      </w:r>
    </w:p>
    <w:p w14:paraId="14BE48C9" w14:textId="77777777" w:rsidR="00FA229F" w:rsidRDefault="00B34ACE" w:rsidP="00FA229F">
      <w:pPr>
        <w:keepNext/>
        <w:jc w:val="both"/>
      </w:pPr>
      <w:r>
        <w:rPr>
          <w:rFonts w:ascii="Times New Roman" w:hAnsi="Times New Roman" w:cs="Times New Roman"/>
          <w:noProof/>
          <w:sz w:val="24"/>
          <w:szCs w:val="24"/>
        </w:rPr>
        <w:drawing>
          <wp:inline distT="0" distB="0" distL="0" distR="0" wp14:anchorId="5B858F6E" wp14:editId="3A084084">
            <wp:extent cx="5731510" cy="4298950"/>
            <wp:effectExtent l="0" t="0" r="2540" b="6350"/>
            <wp:docPr id="472783173" name="Picture 12" descr="A graph with blue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83173" name="Picture 12" descr="A graph with blue squares"/>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D20D8D3" w14:textId="2CEC8EA8" w:rsidR="00B34ACE"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6</w:t>
        </w:r>
      </w:fldSimple>
      <w:r>
        <w:t xml:space="preserve">: </w:t>
      </w:r>
      <w:r w:rsidRPr="00600CBF">
        <w:t>Correlation heatmap</w:t>
      </w:r>
    </w:p>
    <w:p w14:paraId="1235BDBC" w14:textId="1436C378" w:rsidR="009472BC" w:rsidRPr="009472BC" w:rsidRDefault="009472BC" w:rsidP="009472BC">
      <w:pPr>
        <w:jc w:val="both"/>
        <w:rPr>
          <w:rFonts w:ascii="Times New Roman" w:hAnsi="Times New Roman" w:cs="Times New Roman"/>
          <w:b/>
          <w:bCs/>
          <w:sz w:val="24"/>
          <w:szCs w:val="24"/>
        </w:rPr>
      </w:pPr>
      <w:r w:rsidRPr="009472BC">
        <w:rPr>
          <w:rFonts w:ascii="Times New Roman" w:hAnsi="Times New Roman" w:cs="Times New Roman"/>
          <w:b/>
          <w:bCs/>
          <w:sz w:val="24"/>
          <w:szCs w:val="24"/>
        </w:rPr>
        <w:t>3.4 Characterizing the Risk Profiles (The Clusters)</w:t>
      </w:r>
    </w:p>
    <w:p w14:paraId="32BC8314"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Through the ML model, we identified three "Life-Path" clusters:</w:t>
      </w:r>
    </w:p>
    <w:p w14:paraId="04FD6F6F"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b/>
          <w:bCs/>
          <w:sz w:val="24"/>
          <w:szCs w:val="24"/>
        </w:rPr>
        <w:t>Cluster 1: The High-Intensity Zone (Arunachal Pradesh, Sikkim)</w:t>
      </w:r>
    </w:p>
    <w:p w14:paraId="09A8AEA6" w14:textId="0A3CE71D" w:rsidR="009472BC" w:rsidRPr="009472BC" w:rsidRDefault="009472BC" w:rsidP="009472BC">
      <w:pPr>
        <w:numPr>
          <w:ilvl w:val="0"/>
          <w:numId w:val="25"/>
        </w:numPr>
        <w:jc w:val="both"/>
        <w:rPr>
          <w:rFonts w:ascii="Times New Roman" w:hAnsi="Times New Roman" w:cs="Times New Roman"/>
          <w:sz w:val="24"/>
          <w:szCs w:val="24"/>
        </w:rPr>
      </w:pPr>
      <w:r w:rsidRPr="009472BC">
        <w:rPr>
          <w:rFonts w:ascii="Times New Roman" w:hAnsi="Times New Roman" w:cs="Times New Roman"/>
          <w:b/>
          <w:bCs/>
          <w:sz w:val="24"/>
          <w:szCs w:val="24"/>
        </w:rPr>
        <w:t>The Profile:</w:t>
      </w:r>
      <w:r w:rsidRPr="009472BC">
        <w:rPr>
          <w:rFonts w:ascii="Times New Roman" w:hAnsi="Times New Roman" w:cs="Times New Roman"/>
          <w:sz w:val="24"/>
          <w:szCs w:val="24"/>
        </w:rPr>
        <w:t xml:space="preserve"> States where male consumption exceeds $45\%$ and female consumption is nearly 20</w:t>
      </w:r>
      <w:r w:rsidR="00C4217B">
        <w:rPr>
          <w:rFonts w:ascii="Times New Roman" w:hAnsi="Times New Roman" w:cs="Times New Roman"/>
          <w:sz w:val="24"/>
          <w:szCs w:val="24"/>
        </w:rPr>
        <w:t xml:space="preserve"> </w:t>
      </w:r>
      <w:r w:rsidRPr="009472BC">
        <w:rPr>
          <w:rFonts w:ascii="Times New Roman" w:hAnsi="Times New Roman" w:cs="Times New Roman"/>
          <w:sz w:val="24"/>
          <w:szCs w:val="24"/>
        </w:rPr>
        <w:t>times higher than the national average.</w:t>
      </w:r>
    </w:p>
    <w:p w14:paraId="2740C80F" w14:textId="77777777" w:rsidR="009472BC" w:rsidRPr="009472BC" w:rsidRDefault="009472BC" w:rsidP="009472BC">
      <w:pPr>
        <w:numPr>
          <w:ilvl w:val="0"/>
          <w:numId w:val="25"/>
        </w:numPr>
        <w:jc w:val="both"/>
        <w:rPr>
          <w:rFonts w:ascii="Times New Roman" w:hAnsi="Times New Roman" w:cs="Times New Roman"/>
          <w:sz w:val="24"/>
          <w:szCs w:val="24"/>
        </w:rPr>
      </w:pPr>
      <w:r w:rsidRPr="009472BC">
        <w:rPr>
          <w:rFonts w:ascii="Times New Roman" w:hAnsi="Times New Roman" w:cs="Times New Roman"/>
          <w:b/>
          <w:bCs/>
          <w:sz w:val="24"/>
          <w:szCs w:val="24"/>
        </w:rPr>
        <w:t>The Human Insight:</w:t>
      </w:r>
      <w:r w:rsidRPr="009472BC">
        <w:rPr>
          <w:rFonts w:ascii="Times New Roman" w:hAnsi="Times New Roman" w:cs="Times New Roman"/>
          <w:sz w:val="24"/>
          <w:szCs w:val="24"/>
        </w:rPr>
        <w:t xml:space="preserve"> In these regions, alcohol is deeply woven into the social fabric. For a minor, exposure is near-constant.</w:t>
      </w:r>
    </w:p>
    <w:p w14:paraId="7B47B24D" w14:textId="77777777" w:rsidR="009472BC" w:rsidRPr="009472BC" w:rsidRDefault="009472BC" w:rsidP="009472BC">
      <w:pPr>
        <w:numPr>
          <w:ilvl w:val="0"/>
          <w:numId w:val="25"/>
        </w:numPr>
        <w:jc w:val="both"/>
        <w:rPr>
          <w:rFonts w:ascii="Times New Roman" w:hAnsi="Times New Roman" w:cs="Times New Roman"/>
          <w:sz w:val="24"/>
          <w:szCs w:val="24"/>
        </w:rPr>
      </w:pPr>
      <w:r w:rsidRPr="009472BC">
        <w:rPr>
          <w:rFonts w:ascii="Times New Roman" w:hAnsi="Times New Roman" w:cs="Times New Roman"/>
          <w:b/>
          <w:bCs/>
          <w:sz w:val="24"/>
          <w:szCs w:val="24"/>
        </w:rPr>
        <w:t>Strategic Priority:</w:t>
      </w:r>
      <w:r w:rsidRPr="009472BC">
        <w:rPr>
          <w:rFonts w:ascii="Times New Roman" w:hAnsi="Times New Roman" w:cs="Times New Roman"/>
          <w:sz w:val="24"/>
          <w:szCs w:val="24"/>
        </w:rPr>
        <w:t xml:space="preserve"> Targeted medical de-addiction infrastructure and strict enforcement of the "Triple-Lock" digital verification.</w:t>
      </w:r>
    </w:p>
    <w:p w14:paraId="08901F6C"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b/>
          <w:bCs/>
          <w:sz w:val="24"/>
          <w:szCs w:val="24"/>
        </w:rPr>
        <w:t>Cluster 2: The Moderate-Prevalence Belt (Telangana, Goa, Assam)</w:t>
      </w:r>
    </w:p>
    <w:p w14:paraId="1C1237FF" w14:textId="6DEC8461" w:rsidR="009472BC" w:rsidRPr="009472BC" w:rsidRDefault="009472BC" w:rsidP="009472BC">
      <w:pPr>
        <w:numPr>
          <w:ilvl w:val="0"/>
          <w:numId w:val="26"/>
        </w:numPr>
        <w:jc w:val="both"/>
        <w:rPr>
          <w:rFonts w:ascii="Times New Roman" w:hAnsi="Times New Roman" w:cs="Times New Roman"/>
          <w:sz w:val="24"/>
          <w:szCs w:val="24"/>
        </w:rPr>
      </w:pPr>
      <w:r w:rsidRPr="009472BC">
        <w:rPr>
          <w:rFonts w:ascii="Times New Roman" w:hAnsi="Times New Roman" w:cs="Times New Roman"/>
          <w:b/>
          <w:bCs/>
          <w:sz w:val="24"/>
          <w:szCs w:val="24"/>
        </w:rPr>
        <w:lastRenderedPageBreak/>
        <w:t>The Profile:</w:t>
      </w:r>
      <w:r w:rsidRPr="009472BC">
        <w:rPr>
          <w:rFonts w:ascii="Times New Roman" w:hAnsi="Times New Roman" w:cs="Times New Roman"/>
          <w:sz w:val="24"/>
          <w:szCs w:val="24"/>
        </w:rPr>
        <w:t xml:space="preserve"> States with significant male consumption (30-40%) but lower female involvement.</w:t>
      </w:r>
    </w:p>
    <w:p w14:paraId="01FAE93D" w14:textId="6CA31BE1" w:rsidR="009472BC" w:rsidRPr="009472BC" w:rsidRDefault="009472BC" w:rsidP="009472BC">
      <w:pPr>
        <w:numPr>
          <w:ilvl w:val="0"/>
          <w:numId w:val="26"/>
        </w:numPr>
        <w:jc w:val="both"/>
        <w:rPr>
          <w:rFonts w:ascii="Times New Roman" w:hAnsi="Times New Roman" w:cs="Times New Roman"/>
          <w:sz w:val="24"/>
          <w:szCs w:val="24"/>
        </w:rPr>
      </w:pPr>
      <w:r w:rsidRPr="009472BC">
        <w:rPr>
          <w:rFonts w:ascii="Times New Roman" w:hAnsi="Times New Roman" w:cs="Times New Roman"/>
          <w:b/>
          <w:bCs/>
          <w:sz w:val="24"/>
          <w:szCs w:val="24"/>
        </w:rPr>
        <w:t>Strategic Priority:</w:t>
      </w:r>
      <w:r w:rsidRPr="009472BC">
        <w:rPr>
          <w:rFonts w:ascii="Times New Roman" w:hAnsi="Times New Roman" w:cs="Times New Roman"/>
          <w:sz w:val="24"/>
          <w:szCs w:val="24"/>
        </w:rPr>
        <w:t xml:space="preserve"> Economic redirection education and the "Sobriety Dividend" financial </w:t>
      </w:r>
      <w:r w:rsidR="002C4982" w:rsidRPr="009472BC">
        <w:rPr>
          <w:rFonts w:ascii="Times New Roman" w:hAnsi="Times New Roman" w:cs="Times New Roman"/>
          <w:sz w:val="24"/>
          <w:szCs w:val="24"/>
        </w:rPr>
        <w:t>modelling</w:t>
      </w:r>
      <w:r w:rsidRPr="009472BC">
        <w:rPr>
          <w:rFonts w:ascii="Times New Roman" w:hAnsi="Times New Roman" w:cs="Times New Roman"/>
          <w:sz w:val="24"/>
          <w:szCs w:val="24"/>
        </w:rPr>
        <w:t>.</w:t>
      </w:r>
    </w:p>
    <w:p w14:paraId="11D27419"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b/>
          <w:bCs/>
          <w:sz w:val="24"/>
          <w:szCs w:val="24"/>
        </w:rPr>
        <w:t>Cluster 3: The Baseline Resilience Zone (Majority of States)</w:t>
      </w:r>
    </w:p>
    <w:p w14:paraId="51BC99A2" w14:textId="03E9EE12" w:rsidR="009472BC" w:rsidRPr="009472BC" w:rsidRDefault="009472BC" w:rsidP="009472BC">
      <w:pPr>
        <w:numPr>
          <w:ilvl w:val="0"/>
          <w:numId w:val="27"/>
        </w:numPr>
        <w:jc w:val="both"/>
        <w:rPr>
          <w:rFonts w:ascii="Times New Roman" w:hAnsi="Times New Roman" w:cs="Times New Roman"/>
          <w:sz w:val="24"/>
          <w:szCs w:val="24"/>
        </w:rPr>
      </w:pPr>
      <w:r w:rsidRPr="009472BC">
        <w:rPr>
          <w:rFonts w:ascii="Times New Roman" w:hAnsi="Times New Roman" w:cs="Times New Roman"/>
          <w:b/>
          <w:bCs/>
          <w:sz w:val="24"/>
          <w:szCs w:val="24"/>
        </w:rPr>
        <w:t>The Profile:</w:t>
      </w:r>
      <w:r w:rsidRPr="009472BC">
        <w:rPr>
          <w:rFonts w:ascii="Times New Roman" w:hAnsi="Times New Roman" w:cs="Times New Roman"/>
          <w:sz w:val="24"/>
          <w:szCs w:val="24"/>
        </w:rPr>
        <w:t xml:space="preserve"> Consumption remains below 20%, reflecting high cultural and regulatory resilience.</w:t>
      </w:r>
    </w:p>
    <w:p w14:paraId="0A78C3F8" w14:textId="77D2AFE7" w:rsid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Multi-dimensional scatter plot showing the clear separation of Risk Tiers across Indian States.</w:t>
      </w:r>
    </w:p>
    <w:p w14:paraId="090F958A" w14:textId="77777777" w:rsidR="00FA229F" w:rsidRDefault="00B34ACE" w:rsidP="00FA229F">
      <w:pPr>
        <w:keepNext/>
        <w:jc w:val="both"/>
      </w:pPr>
      <w:r>
        <w:rPr>
          <w:rFonts w:ascii="Times New Roman" w:hAnsi="Times New Roman" w:cs="Times New Roman"/>
          <w:noProof/>
          <w:sz w:val="24"/>
          <w:szCs w:val="24"/>
        </w:rPr>
        <w:drawing>
          <wp:inline distT="0" distB="0" distL="0" distR="0" wp14:anchorId="599E30C4" wp14:editId="7B509A8D">
            <wp:extent cx="5731510" cy="4011930"/>
            <wp:effectExtent l="0" t="0" r="2540" b="7620"/>
            <wp:docPr id="1863540675" name="Picture 13"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0675" name="Picture 13" descr="A graph with numbers and poin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E6A8580" w14:textId="364E3300" w:rsidR="00B34ACE"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7</w:t>
        </w:r>
      </w:fldSimple>
      <w:r>
        <w:t xml:space="preserve">: </w:t>
      </w:r>
      <w:r w:rsidRPr="00B84378">
        <w:t>Cluster scatter</w:t>
      </w:r>
    </w:p>
    <w:p w14:paraId="5602B924"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pict w14:anchorId="3226FA20">
          <v:rect id="_x0000_i1123" style="width:0;height:1.5pt" o:hralign="center" o:hrstd="t" o:hr="t" fillcolor="#a0a0a0" stroked="f"/>
        </w:pict>
      </w:r>
    </w:p>
    <w:p w14:paraId="4B3648B7" w14:textId="77777777" w:rsidR="00C82832" w:rsidRDefault="00C82832" w:rsidP="009472BC">
      <w:pPr>
        <w:jc w:val="both"/>
        <w:rPr>
          <w:rFonts w:ascii="Times New Roman" w:hAnsi="Times New Roman" w:cs="Times New Roman"/>
          <w:b/>
          <w:bCs/>
          <w:sz w:val="24"/>
          <w:szCs w:val="24"/>
        </w:rPr>
      </w:pPr>
    </w:p>
    <w:p w14:paraId="41856ED2" w14:textId="09A2F24E" w:rsidR="009472BC" w:rsidRPr="009472BC" w:rsidRDefault="009472BC" w:rsidP="009472BC">
      <w:pPr>
        <w:jc w:val="both"/>
        <w:rPr>
          <w:rFonts w:ascii="Times New Roman" w:hAnsi="Times New Roman" w:cs="Times New Roman"/>
          <w:b/>
          <w:bCs/>
          <w:sz w:val="24"/>
          <w:szCs w:val="24"/>
        </w:rPr>
      </w:pPr>
      <w:r w:rsidRPr="009472BC">
        <w:rPr>
          <w:rFonts w:ascii="Times New Roman" w:hAnsi="Times New Roman" w:cs="Times New Roman"/>
          <w:b/>
          <w:bCs/>
          <w:sz w:val="24"/>
          <w:szCs w:val="24"/>
        </w:rPr>
        <w:t>3.5 Geographical Comparison: Regional Disparities</w:t>
      </w:r>
    </w:p>
    <w:p w14:paraId="36F958D7" w14:textId="77777777"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 xml:space="preserve">Our analysis reveals a striking </w:t>
      </w:r>
      <w:r w:rsidRPr="009472BC">
        <w:rPr>
          <w:rFonts w:ascii="Times New Roman" w:hAnsi="Times New Roman" w:cs="Times New Roman"/>
          <w:b/>
          <w:bCs/>
          <w:sz w:val="24"/>
          <w:szCs w:val="24"/>
        </w:rPr>
        <w:t>Geographical Divergence</w:t>
      </w:r>
      <w:r w:rsidRPr="009472BC">
        <w:rPr>
          <w:rFonts w:ascii="Times New Roman" w:hAnsi="Times New Roman" w:cs="Times New Roman"/>
          <w:sz w:val="24"/>
          <w:szCs w:val="24"/>
        </w:rPr>
        <w:t xml:space="preserve">. When grouped into zones, the </w:t>
      </w:r>
      <w:r w:rsidRPr="009472BC">
        <w:rPr>
          <w:rFonts w:ascii="Times New Roman" w:hAnsi="Times New Roman" w:cs="Times New Roman"/>
          <w:b/>
          <w:bCs/>
          <w:sz w:val="24"/>
          <w:szCs w:val="24"/>
        </w:rPr>
        <w:t>North-East</w:t>
      </w:r>
      <w:r w:rsidRPr="009472BC">
        <w:rPr>
          <w:rFonts w:ascii="Times New Roman" w:hAnsi="Times New Roman" w:cs="Times New Roman"/>
          <w:sz w:val="24"/>
          <w:szCs w:val="24"/>
        </w:rPr>
        <w:t xml:space="preserve"> and </w:t>
      </w:r>
      <w:r w:rsidRPr="009472BC">
        <w:rPr>
          <w:rFonts w:ascii="Times New Roman" w:hAnsi="Times New Roman" w:cs="Times New Roman"/>
          <w:b/>
          <w:bCs/>
          <w:sz w:val="24"/>
          <w:szCs w:val="24"/>
        </w:rPr>
        <w:t>South</w:t>
      </w:r>
      <w:r w:rsidRPr="009472BC">
        <w:rPr>
          <w:rFonts w:ascii="Times New Roman" w:hAnsi="Times New Roman" w:cs="Times New Roman"/>
          <w:sz w:val="24"/>
          <w:szCs w:val="24"/>
        </w:rPr>
        <w:t xml:space="preserve"> regions emerge as the highest-risk geographical blocks.</w:t>
      </w:r>
    </w:p>
    <w:p w14:paraId="16D1EED3" w14:textId="77777777" w:rsidR="009472BC" w:rsidRPr="009472BC" w:rsidRDefault="009472BC" w:rsidP="009472BC">
      <w:pPr>
        <w:numPr>
          <w:ilvl w:val="0"/>
          <w:numId w:val="28"/>
        </w:numPr>
        <w:jc w:val="both"/>
        <w:rPr>
          <w:rFonts w:ascii="Times New Roman" w:hAnsi="Times New Roman" w:cs="Times New Roman"/>
          <w:sz w:val="24"/>
          <w:szCs w:val="24"/>
        </w:rPr>
      </w:pPr>
      <w:r w:rsidRPr="009472BC">
        <w:rPr>
          <w:rFonts w:ascii="Times New Roman" w:hAnsi="Times New Roman" w:cs="Times New Roman"/>
          <w:b/>
          <w:bCs/>
          <w:sz w:val="24"/>
          <w:szCs w:val="24"/>
        </w:rPr>
        <w:t>East vs. West:</w:t>
      </w:r>
      <w:r w:rsidRPr="009472BC">
        <w:rPr>
          <w:rFonts w:ascii="Times New Roman" w:hAnsi="Times New Roman" w:cs="Times New Roman"/>
          <w:sz w:val="24"/>
          <w:szCs w:val="24"/>
        </w:rPr>
        <w:t xml:space="preserve"> While the West (Gujarat, Maharashtra) shows lower averages due to stricter state policies, the East and Central regions show rising trends in rural pockets.</w:t>
      </w:r>
    </w:p>
    <w:p w14:paraId="0EC3C968" w14:textId="77777777" w:rsidR="009472BC" w:rsidRPr="009472BC" w:rsidRDefault="009472BC" w:rsidP="009472BC">
      <w:pPr>
        <w:numPr>
          <w:ilvl w:val="0"/>
          <w:numId w:val="28"/>
        </w:numPr>
        <w:jc w:val="both"/>
        <w:rPr>
          <w:rFonts w:ascii="Times New Roman" w:hAnsi="Times New Roman" w:cs="Times New Roman"/>
          <w:sz w:val="24"/>
          <w:szCs w:val="24"/>
        </w:rPr>
      </w:pPr>
      <w:r w:rsidRPr="009472BC">
        <w:rPr>
          <w:rFonts w:ascii="Times New Roman" w:hAnsi="Times New Roman" w:cs="Times New Roman"/>
          <w:b/>
          <w:bCs/>
          <w:sz w:val="24"/>
          <w:szCs w:val="24"/>
        </w:rPr>
        <w:lastRenderedPageBreak/>
        <w:t>Human Impact:</w:t>
      </w:r>
      <w:r w:rsidRPr="009472BC">
        <w:rPr>
          <w:rFonts w:ascii="Times New Roman" w:hAnsi="Times New Roman" w:cs="Times New Roman"/>
          <w:sz w:val="24"/>
          <w:szCs w:val="24"/>
        </w:rPr>
        <w:t xml:space="preserve"> These disparities tell a story of regional cultures and availability. A youth in the North-East is at a 3x higher statistical risk of alcohol exposure than a youth in Central India.</w:t>
      </w:r>
    </w:p>
    <w:p w14:paraId="409913ED" w14:textId="4E6DAAAE" w:rsidR="009472BC" w:rsidRPr="009472BC" w:rsidRDefault="009472BC" w:rsidP="009472BC">
      <w:pPr>
        <w:jc w:val="both"/>
        <w:rPr>
          <w:rFonts w:ascii="Times New Roman" w:hAnsi="Times New Roman" w:cs="Times New Roman"/>
          <w:sz w:val="24"/>
          <w:szCs w:val="24"/>
        </w:rPr>
      </w:pPr>
      <w:r w:rsidRPr="009472BC">
        <w:rPr>
          <w:rFonts w:ascii="Times New Roman" w:hAnsi="Times New Roman" w:cs="Times New Roman"/>
          <w:sz w:val="24"/>
          <w:szCs w:val="24"/>
        </w:rPr>
        <w:t>Regional breakdown showing the stark contrast in consumption averages across the Indian subcontinent.</w:t>
      </w:r>
    </w:p>
    <w:p w14:paraId="5616CDB7" w14:textId="77777777" w:rsidR="00FA229F" w:rsidRDefault="00B34ACE" w:rsidP="00FA229F">
      <w:pPr>
        <w:keepNext/>
        <w:jc w:val="both"/>
      </w:pPr>
      <w:r>
        <w:rPr>
          <w:rFonts w:ascii="Times New Roman" w:hAnsi="Times New Roman" w:cs="Times New Roman"/>
          <w:noProof/>
          <w:sz w:val="24"/>
          <w:szCs w:val="24"/>
        </w:rPr>
        <w:drawing>
          <wp:inline distT="0" distB="0" distL="0" distR="0" wp14:anchorId="5254CBD9" wp14:editId="1BE2DF7A">
            <wp:extent cx="5731510" cy="3439160"/>
            <wp:effectExtent l="0" t="0" r="2540" b="8890"/>
            <wp:docPr id="834685534" name="Picture 15" descr="A graph of different colore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85534" name="Picture 15" descr="A graph of different colored columns"/>
                    <pic:cNvPicPr/>
                  </pic:nvPicPr>
                  <pic:blipFill>
                    <a:blip r:embed="rId1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F4A1E2F" w14:textId="12C1D667" w:rsidR="00293B09"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8</w:t>
        </w:r>
      </w:fldSimple>
      <w:r>
        <w:t xml:space="preserve">: </w:t>
      </w:r>
      <w:r w:rsidRPr="007A5646">
        <w:t>Regional comparison</w:t>
      </w:r>
    </w:p>
    <w:p w14:paraId="24A541A4" w14:textId="77777777" w:rsidR="00984176" w:rsidRDefault="00984176" w:rsidP="00DB4261">
      <w:pPr>
        <w:jc w:val="both"/>
        <w:rPr>
          <w:rFonts w:ascii="Times New Roman" w:hAnsi="Times New Roman" w:cs="Times New Roman"/>
          <w:b/>
          <w:bCs/>
          <w:color w:val="0070C0"/>
          <w:sz w:val="36"/>
          <w:szCs w:val="36"/>
        </w:rPr>
      </w:pPr>
    </w:p>
    <w:p w14:paraId="574EF4CB" w14:textId="7CAD6FC1" w:rsidR="00DB4261" w:rsidRPr="00DB4261" w:rsidRDefault="00DB4261" w:rsidP="00DB4261">
      <w:pPr>
        <w:jc w:val="both"/>
        <w:rPr>
          <w:rFonts w:ascii="Times New Roman" w:hAnsi="Times New Roman" w:cs="Times New Roman"/>
          <w:b/>
          <w:bCs/>
          <w:color w:val="0070C0"/>
          <w:sz w:val="36"/>
          <w:szCs w:val="36"/>
        </w:rPr>
      </w:pPr>
      <w:r w:rsidRPr="00DB4261">
        <w:rPr>
          <w:rFonts w:ascii="Times New Roman" w:hAnsi="Times New Roman" w:cs="Times New Roman"/>
          <w:b/>
          <w:bCs/>
          <w:color w:val="0070C0"/>
          <w:sz w:val="36"/>
          <w:szCs w:val="36"/>
        </w:rPr>
        <w:t>4. Strategic Interventions for Under-18 Prevention: A Human-Centric Framework</w:t>
      </w:r>
    </w:p>
    <w:p w14:paraId="0B11E518"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4.1 The Vulnerability Context: Lessons from EDA</w:t>
      </w:r>
    </w:p>
    <w:p w14:paraId="488E78EC" w14:textId="0BDF8916" w:rsidR="00DB4261" w:rsidRP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t xml:space="preserve">When we look at the raw data of alcohol consumption in India, we aren't just looking at percentages; we are looking at the environmental factors that shape a child’s future. Our </w:t>
      </w:r>
      <w:r w:rsidRPr="00DB4261">
        <w:rPr>
          <w:rFonts w:ascii="Times New Roman" w:hAnsi="Times New Roman" w:cs="Times New Roman"/>
          <w:b/>
          <w:bCs/>
          <w:sz w:val="24"/>
          <w:szCs w:val="24"/>
        </w:rPr>
        <w:t>Exploratory Data Analysis (EDA)</w:t>
      </w:r>
      <w:r w:rsidRPr="00DB4261">
        <w:rPr>
          <w:rFonts w:ascii="Times New Roman" w:hAnsi="Times New Roman" w:cs="Times New Roman"/>
          <w:sz w:val="24"/>
          <w:szCs w:val="24"/>
        </w:rPr>
        <w:t xml:space="preserve"> reveals a critical "Rural-Urban Disparity." Nationally, male consumption in rural areas stands at 19.92%, significantly higher than the urban rate of 16.53%.</w:t>
      </w:r>
    </w:p>
    <w:p w14:paraId="1CC1E036" w14:textId="3B6D370A" w:rsid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t xml:space="preserve">This data suggests that children in rural heartlands are statistically more likely to grow up in environments where alcohol is normalized. Furthermore, the EDA identified "High-Risk Clusters" (such as Arunachal Pradesh at 52.7% and Telangana at 33.33%), where the density of retail outlets and social acceptance creates a high-pressure zone for minors. To protect the </w:t>
      </w:r>
      <w:r w:rsidRPr="00DB4261">
        <w:rPr>
          <w:rFonts w:ascii="Times New Roman" w:hAnsi="Times New Roman" w:cs="Times New Roman"/>
          <w:sz w:val="24"/>
          <w:szCs w:val="24"/>
        </w:rPr>
        <w:lastRenderedPageBreak/>
        <w:t xml:space="preserve">next generation, we must move beyond symbolic bans and implement a </w:t>
      </w:r>
      <w:r w:rsidRPr="00DB4261">
        <w:rPr>
          <w:rFonts w:ascii="Times New Roman" w:hAnsi="Times New Roman" w:cs="Times New Roman"/>
          <w:b/>
          <w:bCs/>
          <w:sz w:val="24"/>
          <w:szCs w:val="24"/>
        </w:rPr>
        <w:t>humanized, data-driven "Triple-Lock" system</w:t>
      </w:r>
      <w:r w:rsidRPr="00DB4261">
        <w:rPr>
          <w:rFonts w:ascii="Times New Roman" w:hAnsi="Times New Roman" w:cs="Times New Roman"/>
          <w:sz w:val="24"/>
          <w:szCs w:val="24"/>
        </w:rPr>
        <w:t>.</w:t>
      </w:r>
    </w:p>
    <w:p w14:paraId="1E5F324D" w14:textId="77777777" w:rsidR="00FA229F" w:rsidRDefault="00C82832" w:rsidP="00FA229F">
      <w:pPr>
        <w:keepNext/>
        <w:jc w:val="both"/>
      </w:pPr>
      <w:r>
        <w:rPr>
          <w:rFonts w:ascii="Times New Roman" w:hAnsi="Times New Roman" w:cs="Times New Roman"/>
          <w:noProof/>
          <w:sz w:val="24"/>
          <w:szCs w:val="24"/>
        </w:rPr>
        <w:drawing>
          <wp:inline distT="0" distB="0" distL="0" distR="0" wp14:anchorId="15DEA812" wp14:editId="42299871">
            <wp:extent cx="5731510" cy="3439160"/>
            <wp:effectExtent l="0" t="0" r="2540" b="8890"/>
            <wp:docPr id="906343537" name="Picture 16" descr="A graph of a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3537" name="Picture 16" descr="A graph of a bar chart"/>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042304A" w14:textId="497296A2" w:rsidR="00C82832" w:rsidRPr="00DB4261"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9</w:t>
        </w:r>
      </w:fldSimple>
      <w:r>
        <w:t xml:space="preserve">: </w:t>
      </w:r>
      <w:r w:rsidRPr="00AE1010">
        <w:t>Comparison of Urban vs. Rural Consumption Density</w:t>
      </w:r>
    </w:p>
    <w:p w14:paraId="2677AE7D" w14:textId="77777777" w:rsidR="00DB4261" w:rsidRP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pict w14:anchorId="524C4170">
          <v:rect id="_x0000_i1097" style="width:0;height:1.5pt" o:hralign="center" o:hrstd="t" o:hr="t" fillcolor="#a0a0a0" stroked="f"/>
        </w:pict>
      </w:r>
    </w:p>
    <w:p w14:paraId="586DAEA0"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4.2 The "Triple-Lock" Protection Framework</w:t>
      </w:r>
    </w:p>
    <w:p w14:paraId="02D11954"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I. The Digital Lock: Biometric Age-Gating</w:t>
      </w:r>
    </w:p>
    <w:p w14:paraId="2AC55FE4" w14:textId="77777777" w:rsidR="00DB4261" w:rsidRP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t>The modern minor lives in a digital-first world. With the rise of delivery apps, traditional ID checks are failing.</w:t>
      </w:r>
    </w:p>
    <w:p w14:paraId="70FC8665" w14:textId="77777777" w:rsidR="00DB4261" w:rsidRPr="00DB4261" w:rsidRDefault="00DB4261" w:rsidP="00DB4261">
      <w:pPr>
        <w:numPr>
          <w:ilvl w:val="0"/>
          <w:numId w:val="16"/>
        </w:numPr>
        <w:jc w:val="both"/>
        <w:rPr>
          <w:rFonts w:ascii="Times New Roman" w:hAnsi="Times New Roman" w:cs="Times New Roman"/>
          <w:sz w:val="24"/>
          <w:szCs w:val="24"/>
        </w:rPr>
      </w:pPr>
      <w:r w:rsidRPr="00DB4261">
        <w:rPr>
          <w:rFonts w:ascii="Times New Roman" w:hAnsi="Times New Roman" w:cs="Times New Roman"/>
          <w:b/>
          <w:bCs/>
          <w:sz w:val="24"/>
          <w:szCs w:val="24"/>
        </w:rPr>
        <w:t>The Intervention:</w:t>
      </w:r>
      <w:r w:rsidRPr="00DB4261">
        <w:rPr>
          <w:rFonts w:ascii="Times New Roman" w:hAnsi="Times New Roman" w:cs="Times New Roman"/>
          <w:sz w:val="24"/>
          <w:szCs w:val="24"/>
        </w:rPr>
        <w:t xml:space="preserve"> We propose a mandatory </w:t>
      </w:r>
      <w:r w:rsidRPr="00DB4261">
        <w:rPr>
          <w:rFonts w:ascii="Times New Roman" w:hAnsi="Times New Roman" w:cs="Times New Roman"/>
          <w:b/>
          <w:bCs/>
          <w:sz w:val="24"/>
          <w:szCs w:val="24"/>
        </w:rPr>
        <w:t>Aadhaar-linked Biometric API</w:t>
      </w:r>
      <w:r w:rsidRPr="00DB4261">
        <w:rPr>
          <w:rFonts w:ascii="Times New Roman" w:hAnsi="Times New Roman" w:cs="Times New Roman"/>
          <w:sz w:val="24"/>
          <w:szCs w:val="24"/>
        </w:rPr>
        <w:t xml:space="preserve"> for all alcohol transactions (retail and delivery).</w:t>
      </w:r>
    </w:p>
    <w:p w14:paraId="22BCB5FF" w14:textId="77777777" w:rsidR="00DB4261" w:rsidRPr="00DB4261" w:rsidRDefault="00DB4261" w:rsidP="00DB4261">
      <w:pPr>
        <w:numPr>
          <w:ilvl w:val="0"/>
          <w:numId w:val="16"/>
        </w:numPr>
        <w:jc w:val="both"/>
        <w:rPr>
          <w:rFonts w:ascii="Times New Roman" w:hAnsi="Times New Roman" w:cs="Times New Roman"/>
          <w:sz w:val="24"/>
          <w:szCs w:val="24"/>
        </w:rPr>
      </w:pPr>
      <w:r w:rsidRPr="00DB4261">
        <w:rPr>
          <w:rFonts w:ascii="Times New Roman" w:hAnsi="Times New Roman" w:cs="Times New Roman"/>
          <w:b/>
          <w:bCs/>
          <w:sz w:val="24"/>
          <w:szCs w:val="24"/>
        </w:rPr>
        <w:t>The Human Angle:</w:t>
      </w:r>
      <w:r w:rsidRPr="00DB4261">
        <w:rPr>
          <w:rFonts w:ascii="Times New Roman" w:hAnsi="Times New Roman" w:cs="Times New Roman"/>
          <w:sz w:val="24"/>
          <w:szCs w:val="24"/>
        </w:rPr>
        <w:t xml:space="preserve"> This removes the "negotiation" aspect between a minor and a delivery agent. By making the gatekeeper an impartial algorithm, we reduce social pressure and ensure that "Zero Access" is the default setting for those under 18.</w:t>
      </w:r>
    </w:p>
    <w:p w14:paraId="3C9EC14B" w14:textId="77777777" w:rsidR="00DB4261" w:rsidRPr="00DB4261" w:rsidRDefault="00DB4261" w:rsidP="00DB4261">
      <w:pPr>
        <w:numPr>
          <w:ilvl w:val="0"/>
          <w:numId w:val="16"/>
        </w:numPr>
        <w:jc w:val="both"/>
        <w:rPr>
          <w:rFonts w:ascii="Times New Roman" w:hAnsi="Times New Roman" w:cs="Times New Roman"/>
          <w:sz w:val="24"/>
          <w:szCs w:val="24"/>
        </w:rPr>
      </w:pPr>
      <w:r w:rsidRPr="00DB4261">
        <w:rPr>
          <w:rFonts w:ascii="Times New Roman" w:hAnsi="Times New Roman" w:cs="Times New Roman"/>
          <w:b/>
          <w:bCs/>
          <w:sz w:val="24"/>
          <w:szCs w:val="24"/>
        </w:rPr>
        <w:t>EDA Justification:</w:t>
      </w:r>
      <w:r w:rsidRPr="00DB4261">
        <w:rPr>
          <w:rFonts w:ascii="Times New Roman" w:hAnsi="Times New Roman" w:cs="Times New Roman"/>
          <w:sz w:val="24"/>
          <w:szCs w:val="24"/>
        </w:rPr>
        <w:t xml:space="preserve"> Urban areas, where digital delivery is most prevalent, show a more concentrated risk among young adults.</w:t>
      </w:r>
    </w:p>
    <w:p w14:paraId="316A22EE"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II. The Educational Lock: Cognitive Empowerment</w:t>
      </w:r>
    </w:p>
    <w:p w14:paraId="4FCABF47" w14:textId="77777777" w:rsidR="00DB4261" w:rsidRP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t>Traditional "scare tactics" often backfire with teenagers.</w:t>
      </w:r>
    </w:p>
    <w:p w14:paraId="3018F730" w14:textId="25E64D06" w:rsidR="00DB4261" w:rsidRPr="00DB4261" w:rsidRDefault="00DB4261" w:rsidP="00DB4261">
      <w:pPr>
        <w:numPr>
          <w:ilvl w:val="0"/>
          <w:numId w:val="17"/>
        </w:numPr>
        <w:jc w:val="both"/>
        <w:rPr>
          <w:rFonts w:ascii="Times New Roman" w:hAnsi="Times New Roman" w:cs="Times New Roman"/>
          <w:sz w:val="24"/>
          <w:szCs w:val="24"/>
        </w:rPr>
      </w:pPr>
      <w:r w:rsidRPr="00DB4261">
        <w:rPr>
          <w:rFonts w:ascii="Times New Roman" w:hAnsi="Times New Roman" w:cs="Times New Roman"/>
          <w:b/>
          <w:bCs/>
          <w:sz w:val="24"/>
          <w:szCs w:val="24"/>
        </w:rPr>
        <w:t>The Intervention:</w:t>
      </w:r>
      <w:r w:rsidRPr="00DB4261">
        <w:rPr>
          <w:rFonts w:ascii="Times New Roman" w:hAnsi="Times New Roman" w:cs="Times New Roman"/>
          <w:sz w:val="24"/>
          <w:szCs w:val="24"/>
        </w:rPr>
        <w:t xml:space="preserve"> Shifting the curriculum from moral policing to </w:t>
      </w:r>
      <w:r w:rsidRPr="00DB4261">
        <w:rPr>
          <w:rFonts w:ascii="Times New Roman" w:hAnsi="Times New Roman" w:cs="Times New Roman"/>
          <w:b/>
          <w:bCs/>
          <w:sz w:val="24"/>
          <w:szCs w:val="24"/>
        </w:rPr>
        <w:t>Neuroscience</w:t>
      </w:r>
      <w:r w:rsidRPr="00DB4261">
        <w:rPr>
          <w:rFonts w:ascii="Times New Roman" w:hAnsi="Times New Roman" w:cs="Times New Roman"/>
          <w:sz w:val="24"/>
          <w:szCs w:val="24"/>
        </w:rPr>
        <w:t xml:space="preserve">. Using 3D </w:t>
      </w:r>
      <w:r w:rsidR="002C4982" w:rsidRPr="00DB4261">
        <w:rPr>
          <w:rFonts w:ascii="Times New Roman" w:hAnsi="Times New Roman" w:cs="Times New Roman"/>
          <w:sz w:val="24"/>
          <w:szCs w:val="24"/>
        </w:rPr>
        <w:t>modelling</w:t>
      </w:r>
      <w:r w:rsidRPr="00DB4261">
        <w:rPr>
          <w:rFonts w:ascii="Times New Roman" w:hAnsi="Times New Roman" w:cs="Times New Roman"/>
          <w:sz w:val="24"/>
          <w:szCs w:val="24"/>
        </w:rPr>
        <w:t xml:space="preserve">, we show students how alcohol impacts the </w:t>
      </w:r>
      <w:r w:rsidRPr="00DB4261">
        <w:rPr>
          <w:rFonts w:ascii="Times New Roman" w:hAnsi="Times New Roman" w:cs="Times New Roman"/>
          <w:i/>
          <w:iCs/>
          <w:sz w:val="24"/>
          <w:szCs w:val="24"/>
        </w:rPr>
        <w:t>Prefrontal Cortex</w:t>
      </w:r>
      <w:r w:rsidRPr="00DB4261">
        <w:rPr>
          <w:rFonts w:ascii="Times New Roman" w:hAnsi="Times New Roman" w:cs="Times New Roman"/>
          <w:sz w:val="24"/>
          <w:szCs w:val="24"/>
        </w:rPr>
        <w:t>—</w:t>
      </w:r>
      <w:r w:rsidRPr="00DB4261">
        <w:rPr>
          <w:rFonts w:ascii="Times New Roman" w:hAnsi="Times New Roman" w:cs="Times New Roman"/>
          <w:sz w:val="24"/>
          <w:szCs w:val="24"/>
        </w:rPr>
        <w:lastRenderedPageBreak/>
        <w:t>the part of the brain responsible for impulse control and long-term planning—which isn't fully developed until age 25.</w:t>
      </w:r>
    </w:p>
    <w:p w14:paraId="48CFB199" w14:textId="77777777" w:rsidR="00DB4261" w:rsidRDefault="00DB4261" w:rsidP="00DB4261">
      <w:pPr>
        <w:numPr>
          <w:ilvl w:val="0"/>
          <w:numId w:val="17"/>
        </w:numPr>
        <w:jc w:val="both"/>
        <w:rPr>
          <w:rFonts w:ascii="Times New Roman" w:hAnsi="Times New Roman" w:cs="Times New Roman"/>
          <w:sz w:val="24"/>
          <w:szCs w:val="24"/>
        </w:rPr>
      </w:pPr>
      <w:r w:rsidRPr="00DB4261">
        <w:rPr>
          <w:rFonts w:ascii="Times New Roman" w:hAnsi="Times New Roman" w:cs="Times New Roman"/>
          <w:b/>
          <w:bCs/>
          <w:sz w:val="24"/>
          <w:szCs w:val="24"/>
        </w:rPr>
        <w:t>The Human Angle:</w:t>
      </w:r>
      <w:r w:rsidRPr="00DB4261">
        <w:rPr>
          <w:rFonts w:ascii="Times New Roman" w:hAnsi="Times New Roman" w:cs="Times New Roman"/>
          <w:sz w:val="24"/>
          <w:szCs w:val="24"/>
        </w:rPr>
        <w:t xml:space="preserve"> This empowers the minor with knowledge. Instead of saying "it's bad," we say, "protect your brain's processing power for your future career."</w:t>
      </w:r>
    </w:p>
    <w:p w14:paraId="4C648DE9" w14:textId="77777777" w:rsidR="0070406E" w:rsidRDefault="0070406E" w:rsidP="0070406E">
      <w:pPr>
        <w:jc w:val="both"/>
        <w:rPr>
          <w:rFonts w:ascii="Times New Roman" w:hAnsi="Times New Roman" w:cs="Times New Roman"/>
          <w:sz w:val="24"/>
          <w:szCs w:val="24"/>
        </w:rPr>
      </w:pPr>
    </w:p>
    <w:p w14:paraId="0BE4B8CF" w14:textId="77777777" w:rsidR="00FA229F" w:rsidRDefault="00C97264" w:rsidP="00FA229F">
      <w:pPr>
        <w:keepNext/>
        <w:jc w:val="both"/>
      </w:pPr>
      <w:r>
        <w:rPr>
          <w:rFonts w:ascii="Times New Roman" w:hAnsi="Times New Roman" w:cs="Times New Roman"/>
          <w:noProof/>
          <w:sz w:val="24"/>
          <w:szCs w:val="24"/>
        </w:rPr>
        <w:drawing>
          <wp:inline distT="0" distB="0" distL="0" distR="0" wp14:anchorId="1FB27D29" wp14:editId="20E2B1B2">
            <wp:extent cx="5731510" cy="3439160"/>
            <wp:effectExtent l="0" t="0" r="2540" b="8890"/>
            <wp:docPr id="485551283" name="Picture 17" descr="A graph of alcohol and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51283" name="Picture 17" descr="A graph of alcohol and alcohol"/>
                    <pic:cNvPicPr/>
                  </pic:nvPicPr>
                  <pic:blipFill>
                    <a:blip r:embed="rId16">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91AD1D6" w14:textId="68B733CD" w:rsidR="00C97264" w:rsidRPr="00DB4261" w:rsidRDefault="00FA229F" w:rsidP="00FA229F">
      <w:pPr>
        <w:pStyle w:val="Caption"/>
        <w:jc w:val="center"/>
        <w:rPr>
          <w:rFonts w:ascii="Times New Roman" w:hAnsi="Times New Roman" w:cs="Times New Roman"/>
          <w:sz w:val="24"/>
          <w:szCs w:val="24"/>
        </w:rPr>
      </w:pPr>
      <w:r>
        <w:t xml:space="preserve">Figure </w:t>
      </w:r>
      <w:fldSimple w:instr=" SEQ Figure \* ARABIC ">
        <w:r>
          <w:rPr>
            <w:noProof/>
          </w:rPr>
          <w:t>10</w:t>
        </w:r>
      </w:fldSimple>
      <w:r>
        <w:t xml:space="preserve">: </w:t>
      </w:r>
      <w:r w:rsidRPr="007D37AB">
        <w:t>The Developing Brain vs. Alcohol Impact</w:t>
      </w:r>
    </w:p>
    <w:p w14:paraId="7AFF6257" w14:textId="77777777" w:rsidR="0070406E" w:rsidRDefault="0070406E" w:rsidP="00C97264">
      <w:pPr>
        <w:jc w:val="center"/>
        <w:rPr>
          <w:rFonts w:ascii="Times New Roman" w:hAnsi="Times New Roman" w:cs="Times New Roman"/>
          <w:sz w:val="24"/>
          <w:szCs w:val="24"/>
        </w:rPr>
      </w:pPr>
    </w:p>
    <w:p w14:paraId="09B5F1E7" w14:textId="77777777" w:rsidR="0070406E" w:rsidRPr="00DB4261" w:rsidRDefault="0070406E" w:rsidP="00C97264">
      <w:pPr>
        <w:jc w:val="center"/>
        <w:rPr>
          <w:rFonts w:ascii="Times New Roman" w:hAnsi="Times New Roman" w:cs="Times New Roman"/>
          <w:sz w:val="24"/>
          <w:szCs w:val="24"/>
        </w:rPr>
      </w:pPr>
    </w:p>
    <w:p w14:paraId="47621B06"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III. The Legal Lock: Community Governance (300m Safety Zones)</w:t>
      </w:r>
    </w:p>
    <w:p w14:paraId="19B38DD3" w14:textId="77777777" w:rsidR="00DB4261" w:rsidRPr="00DB4261" w:rsidRDefault="00DB4261" w:rsidP="00DB4261">
      <w:pPr>
        <w:numPr>
          <w:ilvl w:val="0"/>
          <w:numId w:val="18"/>
        </w:numPr>
        <w:jc w:val="both"/>
        <w:rPr>
          <w:rFonts w:ascii="Times New Roman" w:hAnsi="Times New Roman" w:cs="Times New Roman"/>
          <w:sz w:val="24"/>
          <w:szCs w:val="24"/>
        </w:rPr>
      </w:pPr>
      <w:r w:rsidRPr="00DB4261">
        <w:rPr>
          <w:rFonts w:ascii="Times New Roman" w:hAnsi="Times New Roman" w:cs="Times New Roman"/>
          <w:b/>
          <w:bCs/>
          <w:sz w:val="24"/>
          <w:szCs w:val="24"/>
        </w:rPr>
        <w:t>The Intervention:</w:t>
      </w:r>
      <w:r w:rsidRPr="00DB4261">
        <w:rPr>
          <w:rFonts w:ascii="Times New Roman" w:hAnsi="Times New Roman" w:cs="Times New Roman"/>
          <w:sz w:val="24"/>
          <w:szCs w:val="24"/>
        </w:rPr>
        <w:t xml:space="preserve"> Data shows a correlation between retail density and consumption. We propose a </w:t>
      </w:r>
      <w:r w:rsidRPr="00DB4261">
        <w:rPr>
          <w:rFonts w:ascii="Times New Roman" w:hAnsi="Times New Roman" w:cs="Times New Roman"/>
          <w:b/>
          <w:bCs/>
          <w:sz w:val="24"/>
          <w:szCs w:val="24"/>
        </w:rPr>
        <w:t>300-meter "Sacred Zone"</w:t>
      </w:r>
      <w:r w:rsidRPr="00DB4261">
        <w:rPr>
          <w:rFonts w:ascii="Times New Roman" w:hAnsi="Times New Roman" w:cs="Times New Roman"/>
          <w:sz w:val="24"/>
          <w:szCs w:val="24"/>
        </w:rPr>
        <w:t xml:space="preserve"> around every school and playground where alcohol retail is strictly prohibited.</w:t>
      </w:r>
    </w:p>
    <w:p w14:paraId="1854868F" w14:textId="77777777" w:rsidR="00DB4261" w:rsidRPr="00DB4261" w:rsidRDefault="00DB4261" w:rsidP="00DB4261">
      <w:pPr>
        <w:numPr>
          <w:ilvl w:val="0"/>
          <w:numId w:val="18"/>
        </w:numPr>
        <w:jc w:val="both"/>
        <w:rPr>
          <w:rFonts w:ascii="Times New Roman" w:hAnsi="Times New Roman" w:cs="Times New Roman"/>
          <w:sz w:val="24"/>
          <w:szCs w:val="24"/>
        </w:rPr>
      </w:pPr>
      <w:r w:rsidRPr="00DB4261">
        <w:rPr>
          <w:rFonts w:ascii="Times New Roman" w:hAnsi="Times New Roman" w:cs="Times New Roman"/>
          <w:b/>
          <w:bCs/>
          <w:sz w:val="24"/>
          <w:szCs w:val="24"/>
        </w:rPr>
        <w:t>The Human Angle:</w:t>
      </w:r>
      <w:r w:rsidRPr="00DB4261">
        <w:rPr>
          <w:rFonts w:ascii="Times New Roman" w:hAnsi="Times New Roman" w:cs="Times New Roman"/>
          <w:sz w:val="24"/>
          <w:szCs w:val="24"/>
        </w:rPr>
        <w:t xml:space="preserve"> This turns local communities into stakeholders. If a Panchayat or Ward keeps their "Sacred Zone" violation-free for a year, they receive a "Youth Development Grant" funded by alcohol tax revenue.</w:t>
      </w:r>
    </w:p>
    <w:p w14:paraId="7DBAEA8C" w14:textId="77777777" w:rsidR="00DB4261" w:rsidRP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pict w14:anchorId="527740F3">
          <v:rect id="_x0000_i1098" style="width:0;height:1.5pt" o:hralign="center" o:hrstd="t" o:hr="t" fillcolor="#a0a0a0" stroked="f"/>
        </w:pict>
      </w:r>
    </w:p>
    <w:p w14:paraId="06C4EB75" w14:textId="77777777" w:rsidR="00DB4261" w:rsidRPr="00DB4261" w:rsidRDefault="00DB4261" w:rsidP="00DB4261">
      <w:pPr>
        <w:jc w:val="both"/>
        <w:rPr>
          <w:rFonts w:ascii="Times New Roman" w:hAnsi="Times New Roman" w:cs="Times New Roman"/>
          <w:b/>
          <w:bCs/>
          <w:sz w:val="24"/>
          <w:szCs w:val="24"/>
        </w:rPr>
      </w:pPr>
      <w:r w:rsidRPr="00DB4261">
        <w:rPr>
          <w:rFonts w:ascii="Times New Roman" w:hAnsi="Times New Roman" w:cs="Times New Roman"/>
          <w:b/>
          <w:bCs/>
          <w:sz w:val="24"/>
          <w:szCs w:val="24"/>
        </w:rPr>
        <w:t>4.3 Measuring Success through the "Sobriety Dividend"</w:t>
      </w:r>
    </w:p>
    <w:p w14:paraId="4B899EE0" w14:textId="70904265" w:rsidR="00DB4261" w:rsidRDefault="00DB4261" w:rsidP="00DB4261">
      <w:pPr>
        <w:jc w:val="both"/>
        <w:rPr>
          <w:rFonts w:ascii="Times New Roman" w:hAnsi="Times New Roman" w:cs="Times New Roman"/>
          <w:sz w:val="24"/>
          <w:szCs w:val="24"/>
        </w:rPr>
      </w:pPr>
      <w:r w:rsidRPr="00DB4261">
        <w:rPr>
          <w:rFonts w:ascii="Times New Roman" w:hAnsi="Times New Roman" w:cs="Times New Roman"/>
          <w:sz w:val="24"/>
          <w:szCs w:val="24"/>
        </w:rPr>
        <w:t xml:space="preserve">By preventing alcohol use before 18, we directly influence the </w:t>
      </w:r>
      <w:r w:rsidRPr="00DB4261">
        <w:rPr>
          <w:rFonts w:ascii="Times New Roman" w:hAnsi="Times New Roman" w:cs="Times New Roman"/>
          <w:b/>
          <w:bCs/>
          <w:sz w:val="24"/>
          <w:szCs w:val="24"/>
        </w:rPr>
        <w:t>Family Wealth Plan</w:t>
      </w:r>
      <w:r w:rsidRPr="00DB4261">
        <w:rPr>
          <w:rFonts w:ascii="Times New Roman" w:hAnsi="Times New Roman" w:cs="Times New Roman"/>
          <w:sz w:val="24"/>
          <w:szCs w:val="24"/>
        </w:rPr>
        <w:t>. A minor who avoids alcohol is statistically more likely to complete higher education, leading to a 25-</w:t>
      </w:r>
      <w:r w:rsidRPr="00DB4261">
        <w:rPr>
          <w:rFonts w:ascii="Times New Roman" w:hAnsi="Times New Roman" w:cs="Times New Roman"/>
          <w:sz w:val="24"/>
          <w:szCs w:val="24"/>
        </w:rPr>
        <w:lastRenderedPageBreak/>
        <w:t>40% increase in lifetime earning potential. This is the ultimate EDA insight: youth prevention is the most effective poverty-alleviation tool available to the state.</w:t>
      </w:r>
    </w:p>
    <w:p w14:paraId="4F69AFCC" w14:textId="77777777" w:rsidR="00FA229F" w:rsidRDefault="00C97264" w:rsidP="00FA229F">
      <w:pPr>
        <w:keepNext/>
        <w:jc w:val="both"/>
      </w:pPr>
      <w:r>
        <w:rPr>
          <w:rFonts w:ascii="Times New Roman" w:hAnsi="Times New Roman" w:cs="Times New Roman"/>
          <w:noProof/>
          <w:sz w:val="24"/>
          <w:szCs w:val="24"/>
        </w:rPr>
        <w:drawing>
          <wp:inline distT="0" distB="0" distL="0" distR="0" wp14:anchorId="07A6EC86" wp14:editId="72FF21CD">
            <wp:extent cx="5731510" cy="3439160"/>
            <wp:effectExtent l="0" t="0" r="2540" b="8890"/>
            <wp:docPr id="2108467150" name="Picture 18" descr="A graph with a gree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7150" name="Picture 18" descr="A graph with a green lin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6F97D13" w14:textId="6ABB323C" w:rsidR="00C97264" w:rsidRDefault="00FA229F" w:rsidP="00FA229F">
      <w:pPr>
        <w:pStyle w:val="Caption"/>
        <w:jc w:val="center"/>
      </w:pPr>
      <w:r>
        <w:t xml:space="preserve">Figure </w:t>
      </w:r>
      <w:fldSimple w:instr=" SEQ Figure \* ARABIC ">
        <w:r>
          <w:rPr>
            <w:noProof/>
          </w:rPr>
          <w:t>11</w:t>
        </w:r>
      </w:fldSimple>
      <w:r>
        <w:t>:</w:t>
      </w:r>
      <w:r w:rsidRPr="000F1226">
        <w:t>The Wealth Trajectory Comparison</w:t>
      </w:r>
    </w:p>
    <w:p w14:paraId="4C48AEE0" w14:textId="77777777" w:rsidR="002638DA" w:rsidRPr="002638DA" w:rsidRDefault="002638DA" w:rsidP="002638DA"/>
    <w:p w14:paraId="02814974" w14:textId="020B6893" w:rsidR="002638DA" w:rsidRPr="00DB4261" w:rsidRDefault="002638DA" w:rsidP="002638DA">
      <w:pPr>
        <w:jc w:val="both"/>
        <w:rPr>
          <w:rFonts w:ascii="Times New Roman" w:hAnsi="Times New Roman" w:cs="Times New Roman"/>
          <w:b/>
          <w:bCs/>
          <w:color w:val="0070C0"/>
          <w:sz w:val="36"/>
          <w:szCs w:val="36"/>
        </w:rPr>
      </w:pPr>
      <w:r>
        <w:rPr>
          <w:rFonts w:ascii="Times New Roman" w:hAnsi="Times New Roman" w:cs="Times New Roman"/>
          <w:b/>
          <w:bCs/>
          <w:color w:val="0070C0"/>
          <w:sz w:val="36"/>
          <w:szCs w:val="36"/>
        </w:rPr>
        <w:t>5</w:t>
      </w:r>
      <w:r w:rsidRPr="00DB4261">
        <w:rPr>
          <w:rFonts w:ascii="Times New Roman" w:hAnsi="Times New Roman" w:cs="Times New Roman"/>
          <w:b/>
          <w:bCs/>
          <w:color w:val="0070C0"/>
          <w:sz w:val="36"/>
          <w:szCs w:val="36"/>
        </w:rPr>
        <w:t xml:space="preserve">. </w:t>
      </w:r>
      <w:r>
        <w:rPr>
          <w:rFonts w:ascii="Times New Roman" w:hAnsi="Times New Roman" w:cs="Times New Roman"/>
          <w:b/>
          <w:bCs/>
          <w:color w:val="0070C0"/>
          <w:sz w:val="36"/>
          <w:szCs w:val="36"/>
        </w:rPr>
        <w:t>Data Infrastructure and SQL Implementation</w:t>
      </w:r>
    </w:p>
    <w:p w14:paraId="5DA64DF5" w14:textId="77777777" w:rsidR="002638DA" w:rsidRPr="002638DA" w:rsidRDefault="002638DA" w:rsidP="002638DA">
      <w:pPr>
        <w:jc w:val="both"/>
        <w:rPr>
          <w:rFonts w:ascii="Times New Roman" w:hAnsi="Times New Roman" w:cs="Times New Roman"/>
          <w:sz w:val="24"/>
          <w:szCs w:val="24"/>
        </w:rPr>
      </w:pPr>
      <w:r w:rsidRPr="002638DA">
        <w:rPr>
          <w:rFonts w:ascii="Times New Roman" w:hAnsi="Times New Roman" w:cs="Times New Roman"/>
          <w:sz w:val="24"/>
          <w:szCs w:val="24"/>
        </w:rPr>
        <w:t xml:space="preserve">To ensure the scalability of the "National Health Assessment" and to power the proposed 2030 roadmap, a relational database management system (RDBMS) is utilized. While Python handles the predictive </w:t>
      </w:r>
      <w:proofErr w:type="spellStart"/>
      <w:r w:rsidRPr="002638DA">
        <w:rPr>
          <w:rFonts w:ascii="Times New Roman" w:hAnsi="Times New Roman" w:cs="Times New Roman"/>
          <w:sz w:val="24"/>
          <w:szCs w:val="24"/>
        </w:rPr>
        <w:t>modeling</w:t>
      </w:r>
      <w:proofErr w:type="spellEnd"/>
      <w:r w:rsidRPr="002638DA">
        <w:rPr>
          <w:rFonts w:ascii="Times New Roman" w:hAnsi="Times New Roman" w:cs="Times New Roman"/>
          <w:sz w:val="24"/>
          <w:szCs w:val="24"/>
        </w:rPr>
        <w:t>, SQL is implemented for data integrity and real-time transaction tracking.</w:t>
      </w:r>
    </w:p>
    <w:p w14:paraId="50099455" w14:textId="77777777" w:rsidR="002638DA" w:rsidRPr="002638DA" w:rsidRDefault="002638DA" w:rsidP="002638DA">
      <w:pPr>
        <w:jc w:val="both"/>
        <w:rPr>
          <w:rFonts w:ascii="Times New Roman" w:hAnsi="Times New Roman" w:cs="Times New Roman"/>
          <w:sz w:val="24"/>
          <w:szCs w:val="24"/>
        </w:rPr>
      </w:pPr>
      <w:r w:rsidRPr="002638DA">
        <w:rPr>
          <w:rFonts w:ascii="Times New Roman" w:hAnsi="Times New Roman" w:cs="Times New Roman"/>
          <w:b/>
          <w:bCs/>
          <w:sz w:val="24"/>
          <w:szCs w:val="24"/>
        </w:rPr>
        <w:t>5.1 Database Schema Design</w:t>
      </w:r>
      <w:r w:rsidRPr="002638DA">
        <w:rPr>
          <w:rFonts w:ascii="Times New Roman" w:hAnsi="Times New Roman" w:cs="Times New Roman"/>
          <w:sz w:val="24"/>
          <w:szCs w:val="24"/>
        </w:rPr>
        <w:t xml:space="preserve"> The system architecture relies on a centralized database to connect state-level consumption risks with individual user financial growth.</w:t>
      </w:r>
    </w:p>
    <w:p w14:paraId="1A8C630A" w14:textId="77777777" w:rsidR="002638DA" w:rsidRPr="002638DA" w:rsidRDefault="002638DA" w:rsidP="002638DA">
      <w:pPr>
        <w:jc w:val="both"/>
        <w:rPr>
          <w:rFonts w:ascii="Times New Roman" w:hAnsi="Times New Roman" w:cs="Times New Roman"/>
          <w:sz w:val="24"/>
          <w:szCs w:val="24"/>
        </w:rPr>
      </w:pPr>
      <w:r w:rsidRPr="002638DA">
        <w:rPr>
          <w:rFonts w:ascii="Times New Roman" w:hAnsi="Times New Roman" w:cs="Times New Roman"/>
          <w:b/>
          <w:bCs/>
          <w:sz w:val="24"/>
          <w:szCs w:val="24"/>
        </w:rPr>
        <w:t>5.2 Data Cleaning &amp; Normalization (SQL ETL)</w:t>
      </w:r>
      <w:r w:rsidRPr="002638DA">
        <w:rPr>
          <w:rFonts w:ascii="Times New Roman" w:hAnsi="Times New Roman" w:cs="Times New Roman"/>
          <w:sz w:val="24"/>
          <w:szCs w:val="24"/>
        </w:rPr>
        <w:t xml:space="preserve"> SQL is used to filter anomalies from the NFHS-5 dataset and normalize negative values identified in rural subsets:</w:t>
      </w:r>
    </w:p>
    <w:p w14:paraId="16C0282A"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sz w:val="24"/>
          <w:szCs w:val="24"/>
        </w:rPr>
        <w:t>SQL</w:t>
      </w:r>
    </w:p>
    <w:p w14:paraId="64D18934"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sz w:val="24"/>
          <w:szCs w:val="24"/>
        </w:rPr>
        <w:t>-- Normalizing data for analytical consistency</w:t>
      </w:r>
    </w:p>
    <w:p w14:paraId="558987B3"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UPDATE </w:t>
      </w:r>
      <w:proofErr w:type="spellStart"/>
      <w:r w:rsidRPr="002638DA">
        <w:rPr>
          <w:rFonts w:ascii="Times New Roman" w:hAnsi="Times New Roman" w:cs="Times New Roman"/>
          <w:b/>
          <w:bCs/>
          <w:i/>
          <w:iCs/>
          <w:color w:val="404040" w:themeColor="text1" w:themeTint="BF"/>
          <w:sz w:val="24"/>
          <w:szCs w:val="24"/>
        </w:rPr>
        <w:t>National_Health_Data</w:t>
      </w:r>
      <w:proofErr w:type="spellEnd"/>
    </w:p>
    <w:p w14:paraId="1827C8E1"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SET </w:t>
      </w:r>
      <w:proofErr w:type="spellStart"/>
      <w:r w:rsidRPr="002638DA">
        <w:rPr>
          <w:rFonts w:ascii="Times New Roman" w:hAnsi="Times New Roman" w:cs="Times New Roman"/>
          <w:b/>
          <w:bCs/>
          <w:i/>
          <w:iCs/>
          <w:color w:val="404040" w:themeColor="text1" w:themeTint="BF"/>
          <w:sz w:val="24"/>
          <w:szCs w:val="24"/>
        </w:rPr>
        <w:t>Consumption_Value</w:t>
      </w:r>
      <w:proofErr w:type="spellEnd"/>
      <w:r w:rsidRPr="002638DA">
        <w:rPr>
          <w:rFonts w:ascii="Times New Roman" w:hAnsi="Times New Roman" w:cs="Times New Roman"/>
          <w:b/>
          <w:bCs/>
          <w:i/>
          <w:iCs/>
          <w:color w:val="404040" w:themeColor="text1" w:themeTint="BF"/>
          <w:sz w:val="24"/>
          <w:szCs w:val="24"/>
        </w:rPr>
        <w:t xml:space="preserve"> = 0 </w:t>
      </w:r>
    </w:p>
    <w:p w14:paraId="495213F7"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b/>
          <w:bCs/>
          <w:i/>
          <w:iCs/>
          <w:color w:val="404040" w:themeColor="text1" w:themeTint="BF"/>
          <w:sz w:val="24"/>
          <w:szCs w:val="24"/>
        </w:rPr>
        <w:t xml:space="preserve">WHERE </w:t>
      </w:r>
      <w:proofErr w:type="spellStart"/>
      <w:r w:rsidRPr="002638DA">
        <w:rPr>
          <w:rFonts w:ascii="Times New Roman" w:hAnsi="Times New Roman" w:cs="Times New Roman"/>
          <w:b/>
          <w:bCs/>
          <w:i/>
          <w:iCs/>
          <w:color w:val="404040" w:themeColor="text1" w:themeTint="BF"/>
          <w:sz w:val="24"/>
          <w:szCs w:val="24"/>
        </w:rPr>
        <w:t>Consumption_Value</w:t>
      </w:r>
      <w:proofErr w:type="spellEnd"/>
      <w:r w:rsidRPr="002638DA">
        <w:rPr>
          <w:rFonts w:ascii="Times New Roman" w:hAnsi="Times New Roman" w:cs="Times New Roman"/>
          <w:b/>
          <w:bCs/>
          <w:i/>
          <w:iCs/>
          <w:color w:val="404040" w:themeColor="text1" w:themeTint="BF"/>
          <w:sz w:val="24"/>
          <w:szCs w:val="24"/>
        </w:rPr>
        <w:t xml:space="preserve"> &lt; 0</w:t>
      </w:r>
      <w:r w:rsidRPr="002638DA">
        <w:rPr>
          <w:rFonts w:ascii="Times New Roman" w:hAnsi="Times New Roman" w:cs="Times New Roman"/>
          <w:sz w:val="24"/>
          <w:szCs w:val="24"/>
        </w:rPr>
        <w:t>;</w:t>
      </w:r>
    </w:p>
    <w:p w14:paraId="6CD4B55B"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b/>
          <w:bCs/>
          <w:sz w:val="24"/>
          <w:szCs w:val="24"/>
        </w:rPr>
        <w:lastRenderedPageBreak/>
        <w:t>5.3 Backend for the "Sobriety Dividend" App</w:t>
      </w:r>
      <w:r w:rsidRPr="002638DA">
        <w:rPr>
          <w:rFonts w:ascii="Times New Roman" w:hAnsi="Times New Roman" w:cs="Times New Roman"/>
          <w:sz w:val="24"/>
          <w:szCs w:val="24"/>
        </w:rPr>
        <w:t xml:space="preserve"> The following query powers the real-time visualization of the "Sobriety Dividend," calculating how redirected spending converts into wealth over time:</w:t>
      </w:r>
    </w:p>
    <w:p w14:paraId="373E60F7"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sz w:val="24"/>
          <w:szCs w:val="24"/>
        </w:rPr>
        <w:t>SQL</w:t>
      </w:r>
    </w:p>
    <w:p w14:paraId="6F1AB5C6"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sz w:val="24"/>
          <w:szCs w:val="24"/>
        </w:rPr>
        <w:t>-- Calculating cumulative savings for the Family Wealth Plan</w:t>
      </w:r>
    </w:p>
    <w:p w14:paraId="6EBC6929"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SELECT </w:t>
      </w:r>
      <w:proofErr w:type="spellStart"/>
      <w:r w:rsidRPr="002638DA">
        <w:rPr>
          <w:rFonts w:ascii="Times New Roman" w:hAnsi="Times New Roman" w:cs="Times New Roman"/>
          <w:b/>
          <w:bCs/>
          <w:i/>
          <w:iCs/>
          <w:color w:val="404040" w:themeColor="text1" w:themeTint="BF"/>
          <w:sz w:val="24"/>
          <w:szCs w:val="24"/>
        </w:rPr>
        <w:t>User_ID</w:t>
      </w:r>
      <w:proofErr w:type="spellEnd"/>
      <w:r w:rsidRPr="002638DA">
        <w:rPr>
          <w:rFonts w:ascii="Times New Roman" w:hAnsi="Times New Roman" w:cs="Times New Roman"/>
          <w:b/>
          <w:bCs/>
          <w:i/>
          <w:iCs/>
          <w:color w:val="404040" w:themeColor="text1" w:themeTint="BF"/>
          <w:sz w:val="24"/>
          <w:szCs w:val="24"/>
        </w:rPr>
        <w:t xml:space="preserve">, </w:t>
      </w:r>
    </w:p>
    <w:p w14:paraId="4D1B2A07"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       SUM(</w:t>
      </w:r>
      <w:proofErr w:type="spellStart"/>
      <w:r w:rsidRPr="002638DA">
        <w:rPr>
          <w:rFonts w:ascii="Times New Roman" w:hAnsi="Times New Roman" w:cs="Times New Roman"/>
          <w:b/>
          <w:bCs/>
          <w:i/>
          <w:iCs/>
          <w:color w:val="404040" w:themeColor="text1" w:themeTint="BF"/>
          <w:sz w:val="24"/>
          <w:szCs w:val="24"/>
        </w:rPr>
        <w:t>Daily_Savings</w:t>
      </w:r>
      <w:proofErr w:type="spellEnd"/>
      <w:r w:rsidRPr="002638DA">
        <w:rPr>
          <w:rFonts w:ascii="Times New Roman" w:hAnsi="Times New Roman" w:cs="Times New Roman"/>
          <w:b/>
          <w:bCs/>
          <w:i/>
          <w:iCs/>
          <w:color w:val="404040" w:themeColor="text1" w:themeTint="BF"/>
          <w:sz w:val="24"/>
          <w:szCs w:val="24"/>
        </w:rPr>
        <w:t xml:space="preserve">) AS </w:t>
      </w:r>
      <w:proofErr w:type="spellStart"/>
      <w:r w:rsidRPr="002638DA">
        <w:rPr>
          <w:rFonts w:ascii="Times New Roman" w:hAnsi="Times New Roman" w:cs="Times New Roman"/>
          <w:b/>
          <w:bCs/>
          <w:i/>
          <w:iCs/>
          <w:color w:val="404040" w:themeColor="text1" w:themeTint="BF"/>
          <w:sz w:val="24"/>
          <w:szCs w:val="24"/>
        </w:rPr>
        <w:t>Total_Principal</w:t>
      </w:r>
      <w:proofErr w:type="spellEnd"/>
      <w:r w:rsidRPr="002638DA">
        <w:rPr>
          <w:rFonts w:ascii="Times New Roman" w:hAnsi="Times New Roman" w:cs="Times New Roman"/>
          <w:b/>
          <w:bCs/>
          <w:i/>
          <w:iCs/>
          <w:color w:val="404040" w:themeColor="text1" w:themeTint="BF"/>
          <w:sz w:val="24"/>
          <w:szCs w:val="24"/>
        </w:rPr>
        <w:t>,</w:t>
      </w:r>
    </w:p>
    <w:p w14:paraId="26282A2F"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       (SUM(</w:t>
      </w:r>
      <w:proofErr w:type="spellStart"/>
      <w:r w:rsidRPr="002638DA">
        <w:rPr>
          <w:rFonts w:ascii="Times New Roman" w:hAnsi="Times New Roman" w:cs="Times New Roman"/>
          <w:b/>
          <w:bCs/>
          <w:i/>
          <w:iCs/>
          <w:color w:val="404040" w:themeColor="text1" w:themeTint="BF"/>
          <w:sz w:val="24"/>
          <w:szCs w:val="24"/>
        </w:rPr>
        <w:t>Daily_Savings</w:t>
      </w:r>
      <w:proofErr w:type="spellEnd"/>
      <w:r w:rsidRPr="002638DA">
        <w:rPr>
          <w:rFonts w:ascii="Times New Roman" w:hAnsi="Times New Roman" w:cs="Times New Roman"/>
          <w:b/>
          <w:bCs/>
          <w:i/>
          <w:iCs/>
          <w:color w:val="404040" w:themeColor="text1" w:themeTint="BF"/>
          <w:sz w:val="24"/>
          <w:szCs w:val="24"/>
        </w:rPr>
        <w:t xml:space="preserve">) * 1.12) AS </w:t>
      </w:r>
      <w:proofErr w:type="spellStart"/>
      <w:r w:rsidRPr="002638DA">
        <w:rPr>
          <w:rFonts w:ascii="Times New Roman" w:hAnsi="Times New Roman" w:cs="Times New Roman"/>
          <w:b/>
          <w:bCs/>
          <w:i/>
          <w:iCs/>
          <w:color w:val="404040" w:themeColor="text1" w:themeTint="BF"/>
          <w:sz w:val="24"/>
          <w:szCs w:val="24"/>
        </w:rPr>
        <w:t>Projected_Yearly_Growth</w:t>
      </w:r>
      <w:proofErr w:type="spellEnd"/>
    </w:p>
    <w:p w14:paraId="6DE7062B"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FROM </w:t>
      </w:r>
      <w:proofErr w:type="spellStart"/>
      <w:r w:rsidRPr="002638DA">
        <w:rPr>
          <w:rFonts w:ascii="Times New Roman" w:hAnsi="Times New Roman" w:cs="Times New Roman"/>
          <w:b/>
          <w:bCs/>
          <w:i/>
          <w:iCs/>
          <w:color w:val="404040" w:themeColor="text1" w:themeTint="BF"/>
          <w:sz w:val="24"/>
          <w:szCs w:val="24"/>
        </w:rPr>
        <w:t>User_Savings_Log</w:t>
      </w:r>
      <w:proofErr w:type="spellEnd"/>
    </w:p>
    <w:p w14:paraId="52E48932" w14:textId="77777777" w:rsidR="002638DA" w:rsidRPr="002638DA"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WHERE </w:t>
      </w:r>
      <w:proofErr w:type="spellStart"/>
      <w:r w:rsidRPr="002638DA">
        <w:rPr>
          <w:rFonts w:ascii="Times New Roman" w:hAnsi="Times New Roman" w:cs="Times New Roman"/>
          <w:b/>
          <w:bCs/>
          <w:i/>
          <w:iCs/>
          <w:color w:val="404040" w:themeColor="text1" w:themeTint="BF"/>
          <w:sz w:val="24"/>
          <w:szCs w:val="24"/>
        </w:rPr>
        <w:t>Transaction_Date</w:t>
      </w:r>
      <w:proofErr w:type="spellEnd"/>
      <w:r w:rsidRPr="002638DA">
        <w:rPr>
          <w:rFonts w:ascii="Times New Roman" w:hAnsi="Times New Roman" w:cs="Times New Roman"/>
          <w:b/>
          <w:bCs/>
          <w:i/>
          <w:iCs/>
          <w:color w:val="404040" w:themeColor="text1" w:themeTint="BF"/>
          <w:sz w:val="24"/>
          <w:szCs w:val="24"/>
        </w:rPr>
        <w:t xml:space="preserve"> &gt;= '2025-01-01'</w:t>
      </w:r>
    </w:p>
    <w:p w14:paraId="24701A75" w14:textId="77777777" w:rsidR="002638DA" w:rsidRPr="00E63813" w:rsidRDefault="002638DA" w:rsidP="002638DA">
      <w:pPr>
        <w:rPr>
          <w:rFonts w:ascii="Times New Roman" w:hAnsi="Times New Roman" w:cs="Times New Roman"/>
          <w:b/>
          <w:bCs/>
          <w:i/>
          <w:iCs/>
          <w:color w:val="404040" w:themeColor="text1" w:themeTint="BF"/>
          <w:sz w:val="24"/>
          <w:szCs w:val="24"/>
        </w:rPr>
      </w:pPr>
      <w:r w:rsidRPr="002638DA">
        <w:rPr>
          <w:rFonts w:ascii="Times New Roman" w:hAnsi="Times New Roman" w:cs="Times New Roman"/>
          <w:b/>
          <w:bCs/>
          <w:i/>
          <w:iCs/>
          <w:color w:val="404040" w:themeColor="text1" w:themeTint="BF"/>
          <w:sz w:val="24"/>
          <w:szCs w:val="24"/>
        </w:rPr>
        <w:t xml:space="preserve">GROUP BY </w:t>
      </w:r>
      <w:proofErr w:type="spellStart"/>
      <w:r w:rsidRPr="002638DA">
        <w:rPr>
          <w:rFonts w:ascii="Times New Roman" w:hAnsi="Times New Roman" w:cs="Times New Roman"/>
          <w:b/>
          <w:bCs/>
          <w:i/>
          <w:iCs/>
          <w:color w:val="404040" w:themeColor="text1" w:themeTint="BF"/>
          <w:sz w:val="24"/>
          <w:szCs w:val="24"/>
        </w:rPr>
        <w:t>User_ID</w:t>
      </w:r>
      <w:proofErr w:type="spellEnd"/>
      <w:r w:rsidRPr="002638DA">
        <w:rPr>
          <w:rFonts w:ascii="Times New Roman" w:hAnsi="Times New Roman" w:cs="Times New Roman"/>
          <w:b/>
          <w:bCs/>
          <w:i/>
          <w:iCs/>
          <w:color w:val="404040" w:themeColor="text1" w:themeTint="BF"/>
          <w:sz w:val="24"/>
          <w:szCs w:val="24"/>
        </w:rPr>
        <w:t>;</w:t>
      </w:r>
    </w:p>
    <w:p w14:paraId="649E8DBB" w14:textId="77777777" w:rsidR="002638DA" w:rsidRPr="002638DA" w:rsidRDefault="002638DA" w:rsidP="002638DA">
      <w:pPr>
        <w:rPr>
          <w:rFonts w:ascii="Times New Roman" w:hAnsi="Times New Roman" w:cs="Times New Roman"/>
          <w:sz w:val="24"/>
          <w:szCs w:val="24"/>
        </w:rPr>
      </w:pPr>
    </w:p>
    <w:p w14:paraId="7BB3C56E" w14:textId="77777777" w:rsidR="002638DA" w:rsidRPr="002638DA" w:rsidRDefault="002638DA" w:rsidP="002638DA">
      <w:pPr>
        <w:rPr>
          <w:rFonts w:ascii="Times New Roman" w:hAnsi="Times New Roman" w:cs="Times New Roman"/>
          <w:sz w:val="24"/>
          <w:szCs w:val="24"/>
        </w:rPr>
      </w:pPr>
      <w:r w:rsidRPr="002638DA">
        <w:rPr>
          <w:rFonts w:ascii="Times New Roman" w:hAnsi="Times New Roman" w:cs="Times New Roman"/>
          <w:b/>
          <w:bCs/>
          <w:sz w:val="24"/>
          <w:szCs w:val="24"/>
        </w:rPr>
        <w:t>5.4 Legal Lock Verification</w:t>
      </w:r>
      <w:r w:rsidRPr="002638DA">
        <w:rPr>
          <w:rFonts w:ascii="Times New Roman" w:hAnsi="Times New Roman" w:cs="Times New Roman"/>
          <w:sz w:val="24"/>
          <w:szCs w:val="24"/>
        </w:rPr>
        <w:t xml:space="preserve"> To support the "Digital Lock" (Aadhaar-linked verification), SQL triggers are proposed to log every transaction attempt, ensuring compliance with the 300m alcohol-free zone mandate.</w:t>
      </w:r>
    </w:p>
    <w:p w14:paraId="5E0D8A97" w14:textId="77777777" w:rsidR="002638DA" w:rsidRPr="00DB4261" w:rsidRDefault="002638DA" w:rsidP="002638DA"/>
    <w:p w14:paraId="0F6BCDE4" w14:textId="77777777" w:rsidR="009F6588" w:rsidRPr="00DB4261" w:rsidRDefault="009F6588" w:rsidP="005C044F">
      <w:pPr>
        <w:jc w:val="both"/>
        <w:rPr>
          <w:sz w:val="18"/>
          <w:szCs w:val="18"/>
        </w:rPr>
      </w:pPr>
    </w:p>
    <w:p w14:paraId="5C3CE028" w14:textId="40AAB203" w:rsidR="00DB4261" w:rsidRPr="00DB4261" w:rsidRDefault="002638DA" w:rsidP="00C0558E">
      <w:pPr>
        <w:spacing w:after="100" w:afterAutospacing="1" w:line="240" w:lineRule="auto"/>
        <w:jc w:val="both"/>
        <w:outlineLvl w:val="1"/>
        <w:rPr>
          <w:rFonts w:ascii="Times New Roman" w:eastAsia="Times New Roman" w:hAnsi="Times New Roman" w:cs="Times New Roman"/>
          <w:b/>
          <w:bCs/>
          <w:color w:val="0070C0"/>
          <w:kern w:val="0"/>
          <w:sz w:val="36"/>
          <w:szCs w:val="36"/>
          <w:lang w:eastAsia="en-GB"/>
          <w14:ligatures w14:val="none"/>
        </w:rPr>
      </w:pPr>
      <w:r>
        <w:rPr>
          <w:rFonts w:ascii="Times New Roman" w:eastAsia="Times New Roman" w:hAnsi="Times New Roman" w:cs="Times New Roman"/>
          <w:b/>
          <w:bCs/>
          <w:color w:val="0070C0"/>
          <w:kern w:val="0"/>
          <w:sz w:val="36"/>
          <w:szCs w:val="36"/>
          <w:lang w:eastAsia="en-GB"/>
          <w14:ligatures w14:val="none"/>
        </w:rPr>
        <w:t>6</w:t>
      </w:r>
      <w:r w:rsidR="00DB4261" w:rsidRPr="00DB4261">
        <w:rPr>
          <w:rFonts w:ascii="Times New Roman" w:eastAsia="Times New Roman" w:hAnsi="Times New Roman" w:cs="Times New Roman"/>
          <w:b/>
          <w:bCs/>
          <w:color w:val="0070C0"/>
          <w:kern w:val="0"/>
          <w:sz w:val="36"/>
          <w:szCs w:val="36"/>
          <w:lang w:eastAsia="en-GB"/>
          <w14:ligatures w14:val="none"/>
        </w:rPr>
        <w:t>. The Family Wealth Plan: "The Sobriety Dividend"</w:t>
      </w:r>
    </w:p>
    <w:p w14:paraId="26703B12" w14:textId="35CA40D4" w:rsidR="00DB4261" w:rsidRP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Alcohol consumption in India is more than just a public health statistic; it represents a significant economic drain on households that often goes unnoticed until it is too late. The "Sobriety Dividend" is a strategic financial concept designed to help families recover this lost capital and redirect it into wealth-generating assets</w:t>
      </w:r>
      <w:r w:rsidR="00C97264" w:rsidRPr="0070406E">
        <w:rPr>
          <w:rFonts w:ascii="Times New Roman" w:eastAsia="Times New Roman" w:hAnsi="Times New Roman" w:cs="Times New Roman"/>
          <w:kern w:val="0"/>
          <w:sz w:val="24"/>
          <w:szCs w:val="24"/>
          <w:vertAlign w:val="superscript"/>
          <w:lang w:eastAsia="en-GB"/>
          <w14:ligatures w14:val="none"/>
        </w:rPr>
        <w:t>.</w:t>
      </w:r>
    </w:p>
    <w:p w14:paraId="3A96E187" w14:textId="77777777" w:rsidR="00DB4261" w:rsidRPr="00DB4261" w:rsidRDefault="00DB4261" w:rsidP="00C0558E">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DB4261">
        <w:rPr>
          <w:rFonts w:ascii="Times New Roman" w:eastAsia="Times New Roman" w:hAnsi="Times New Roman" w:cs="Times New Roman"/>
          <w:b/>
          <w:bCs/>
          <w:kern w:val="0"/>
          <w:sz w:val="27"/>
          <w:szCs w:val="27"/>
          <w:lang w:eastAsia="en-GB"/>
          <w14:ligatures w14:val="none"/>
        </w:rPr>
        <w:t>The Human Context of the "Silent Tax"</w:t>
      </w:r>
    </w:p>
    <w:p w14:paraId="2370D4C2" w14:textId="0B515398" w:rsidR="00DB4261" w:rsidRP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For many Indian households, alcohol acts as a "silent tax," consuming between ₹3,000 and ₹5,000 of monthly income. This is not merely an expense; it is a "negative SIP" that erodes a family’s ability to fund essential life milestones, such as a child’s higher education or the purchase of a home</w:t>
      </w:r>
      <w:r w:rsidR="00C97264" w:rsidRPr="0070406E">
        <w:rPr>
          <w:rFonts w:ascii="Times New Roman" w:eastAsia="Times New Roman" w:hAnsi="Times New Roman" w:cs="Times New Roman"/>
          <w:kern w:val="0"/>
          <w:sz w:val="24"/>
          <w:szCs w:val="24"/>
          <w:lang w:eastAsia="en-GB"/>
          <w14:ligatures w14:val="none"/>
        </w:rPr>
        <w:t>.</w:t>
      </w:r>
    </w:p>
    <w:p w14:paraId="7A995195" w14:textId="16711578" w:rsidR="00DB4261" w:rsidRDefault="00DB4261" w:rsidP="00C0558E">
      <w:pPr>
        <w:spacing w:after="100" w:afterAutospacing="1" w:line="240" w:lineRule="auto"/>
        <w:jc w:val="both"/>
        <w:rPr>
          <w:rFonts w:ascii="Times New Roman" w:eastAsia="Times New Roman" w:hAnsi="Times New Roman" w:cs="Times New Roman"/>
          <w:kern w:val="0"/>
          <w:sz w:val="24"/>
          <w:szCs w:val="24"/>
          <w:vertAlign w:val="superscript"/>
          <w:lang w:eastAsia="en-GB"/>
          <w14:ligatures w14:val="none"/>
        </w:rPr>
      </w:pPr>
      <w:r w:rsidRPr="00DB4261">
        <w:rPr>
          <w:rFonts w:ascii="Times New Roman" w:eastAsia="Times New Roman" w:hAnsi="Times New Roman" w:cs="Times New Roman"/>
          <w:kern w:val="0"/>
          <w:sz w:val="24"/>
          <w:szCs w:val="24"/>
          <w:lang w:eastAsia="en-GB"/>
          <w14:ligatures w14:val="none"/>
        </w:rPr>
        <w:t xml:space="preserve">Our Exploratory Data Analysis (EDA) reveals that this burden falls disproportionately on those who can least afford it. The data shows a distinct </w:t>
      </w:r>
      <w:r w:rsidRPr="00DB4261">
        <w:rPr>
          <w:rFonts w:ascii="Times New Roman" w:eastAsia="Times New Roman" w:hAnsi="Times New Roman" w:cs="Times New Roman"/>
          <w:b/>
          <w:bCs/>
          <w:kern w:val="0"/>
          <w:sz w:val="24"/>
          <w:szCs w:val="24"/>
          <w:lang w:eastAsia="en-GB"/>
          <w14:ligatures w14:val="none"/>
        </w:rPr>
        <w:t>Rural-Urban Divide</w:t>
      </w:r>
      <w:r w:rsidRPr="00DB4261">
        <w:rPr>
          <w:rFonts w:ascii="Times New Roman" w:eastAsia="Times New Roman" w:hAnsi="Times New Roman" w:cs="Times New Roman"/>
          <w:kern w:val="0"/>
          <w:sz w:val="24"/>
          <w:szCs w:val="24"/>
          <w:lang w:eastAsia="en-GB"/>
          <w14:ligatures w14:val="none"/>
        </w:rPr>
        <w:t>: rural India exhibits significantly higher consumption rates, with 19.92% of men consuming alcohol compared to 16.53% in urban areas. This gap highlights that rural healthcare and financial awareness programs must be prioritized to protect vulnerable families</w:t>
      </w:r>
      <w:r w:rsidR="00C97264" w:rsidRPr="0070406E">
        <w:rPr>
          <w:rFonts w:ascii="Times New Roman" w:eastAsia="Times New Roman" w:hAnsi="Times New Roman" w:cs="Times New Roman"/>
          <w:kern w:val="0"/>
          <w:sz w:val="24"/>
          <w:szCs w:val="24"/>
          <w:vertAlign w:val="superscript"/>
          <w:lang w:eastAsia="en-GB"/>
          <w14:ligatures w14:val="none"/>
        </w:rPr>
        <w:t>.</w:t>
      </w:r>
    </w:p>
    <w:p w14:paraId="7CD99B03" w14:textId="77777777" w:rsidR="004F2630" w:rsidRDefault="004F2630"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p>
    <w:p w14:paraId="3F1F35FC" w14:textId="77777777" w:rsidR="00A44239" w:rsidRPr="00DB4261" w:rsidRDefault="00A44239"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p>
    <w:p w14:paraId="66DBBF15" w14:textId="64568B92" w:rsidR="00DB4261" w:rsidRPr="00DB4261" w:rsidRDefault="00B91977" w:rsidP="00C0558E">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DB4261">
        <w:rPr>
          <w:rFonts w:ascii="Times New Roman" w:eastAsia="Times New Roman" w:hAnsi="Times New Roman" w:cs="Times New Roman"/>
          <w:b/>
          <w:bCs/>
          <w:kern w:val="0"/>
          <w:sz w:val="27"/>
          <w:szCs w:val="27"/>
          <w:lang w:eastAsia="en-GB"/>
          <w14:ligatures w14:val="none"/>
        </w:rPr>
        <w:t>Modelling</w:t>
      </w:r>
      <w:r w:rsidR="00DB4261" w:rsidRPr="00DB4261">
        <w:rPr>
          <w:rFonts w:ascii="Times New Roman" w:eastAsia="Times New Roman" w:hAnsi="Times New Roman" w:cs="Times New Roman"/>
          <w:b/>
          <w:bCs/>
          <w:kern w:val="0"/>
          <w:sz w:val="27"/>
          <w:szCs w:val="27"/>
          <w:lang w:eastAsia="en-GB"/>
          <w14:ligatures w14:val="none"/>
        </w:rPr>
        <w:t xml:space="preserve"> the Financial Transformation</w:t>
      </w:r>
    </w:p>
    <w:p w14:paraId="514890C3" w14:textId="6AC8C1F7" w:rsidR="00DB4261" w:rsidRP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By treating alcohol expenditure as a redirected investment, families can fundamentally alter their financial trajectory. We model this redirection using the future value (</w:t>
      </w:r>
      <w:r w:rsidRPr="00DB4261">
        <w:rPr>
          <w:rFonts w:ascii="Times New Roman" w:eastAsia="Times New Roman" w:hAnsi="Times New Roman" w:cs="Times New Roman"/>
          <w:i/>
          <w:iCs/>
          <w:kern w:val="0"/>
          <w:sz w:val="24"/>
          <w:szCs w:val="24"/>
          <w:lang w:eastAsia="en-GB"/>
          <w14:ligatures w14:val="none"/>
        </w:rPr>
        <w:t>FV</w:t>
      </w:r>
      <w:r w:rsidRPr="00DB4261">
        <w:rPr>
          <w:rFonts w:ascii="Times New Roman" w:eastAsia="Times New Roman" w:hAnsi="Times New Roman" w:cs="Times New Roman"/>
          <w:kern w:val="0"/>
          <w:sz w:val="24"/>
          <w:szCs w:val="24"/>
          <w:lang w:eastAsia="en-GB"/>
          <w14:ligatures w14:val="none"/>
        </w:rPr>
        <w:t xml:space="preserve">) of a monthly investment </w:t>
      </w:r>
      <w:r w:rsidRPr="00DB4261">
        <w:rPr>
          <w:rFonts w:ascii="Times New Roman" w:eastAsia="Times New Roman" w:hAnsi="Times New Roman" w:cs="Times New Roman"/>
          <w:i/>
          <w:iCs/>
          <w:kern w:val="0"/>
          <w:sz w:val="24"/>
          <w:szCs w:val="24"/>
          <w:lang w:eastAsia="en-GB"/>
          <w14:ligatures w14:val="none"/>
        </w:rPr>
        <w:t>(P</w:t>
      </w:r>
      <w:r w:rsidRPr="00DB4261">
        <w:rPr>
          <w:rFonts w:ascii="Times New Roman" w:eastAsia="Times New Roman" w:hAnsi="Times New Roman" w:cs="Times New Roman"/>
          <w:kern w:val="0"/>
          <w:sz w:val="24"/>
          <w:szCs w:val="24"/>
          <w:lang w:eastAsia="en-GB"/>
          <w14:ligatures w14:val="none"/>
        </w:rPr>
        <w:t>) at an annual interest rate (</w:t>
      </w:r>
      <w:r w:rsidRPr="00DB4261">
        <w:rPr>
          <w:rFonts w:ascii="Times New Roman" w:eastAsia="Times New Roman" w:hAnsi="Times New Roman" w:cs="Times New Roman"/>
          <w:i/>
          <w:iCs/>
          <w:kern w:val="0"/>
          <w:sz w:val="24"/>
          <w:szCs w:val="24"/>
          <w:lang w:eastAsia="en-GB"/>
          <w14:ligatures w14:val="none"/>
        </w:rPr>
        <w:t>r</w:t>
      </w:r>
      <w:r w:rsidRPr="00DB4261">
        <w:rPr>
          <w:rFonts w:ascii="Times New Roman" w:eastAsia="Times New Roman" w:hAnsi="Times New Roman" w:cs="Times New Roman"/>
          <w:kern w:val="0"/>
          <w:sz w:val="24"/>
          <w:szCs w:val="24"/>
          <w:lang w:eastAsia="en-GB"/>
          <w14:ligatures w14:val="none"/>
        </w:rPr>
        <w:t xml:space="preserve">) over a period of </w:t>
      </w:r>
      <w:r w:rsidRPr="00DB4261">
        <w:rPr>
          <w:rFonts w:ascii="Times New Roman" w:eastAsia="Times New Roman" w:hAnsi="Times New Roman" w:cs="Times New Roman"/>
          <w:i/>
          <w:iCs/>
          <w:kern w:val="0"/>
          <w:sz w:val="24"/>
          <w:szCs w:val="24"/>
          <w:lang w:eastAsia="en-GB"/>
          <w14:ligatures w14:val="none"/>
        </w:rPr>
        <w:t>n</w:t>
      </w:r>
      <w:r w:rsidRPr="00DB4261">
        <w:rPr>
          <w:rFonts w:ascii="Times New Roman" w:eastAsia="Times New Roman" w:hAnsi="Times New Roman" w:cs="Times New Roman"/>
          <w:kern w:val="0"/>
          <w:sz w:val="24"/>
          <w:szCs w:val="24"/>
          <w:lang w:eastAsia="en-GB"/>
          <w14:ligatures w14:val="none"/>
        </w:rPr>
        <w:t xml:space="preserve"> years:</w:t>
      </w:r>
    </w:p>
    <w:p w14:paraId="0E9876CA" w14:textId="6D1AEC98" w:rsidR="00E039C0" w:rsidRPr="00E039C0" w:rsidRDefault="00E039C0" w:rsidP="00C0558E">
      <w:pPr>
        <w:spacing w:after="0" w:line="240" w:lineRule="auto"/>
        <w:jc w:val="both"/>
        <w:rPr>
          <w:rFonts w:ascii="Times New Roman" w:eastAsia="Times New Roman" w:hAnsi="Times New Roman" w:cs="Times New Roman"/>
          <w:color w:val="0070C0"/>
          <w:kern w:val="0"/>
          <w:sz w:val="24"/>
          <w:szCs w:val="24"/>
          <w:lang w:eastAsia="en-GB"/>
          <w14:ligatures w14:val="none"/>
        </w:rPr>
      </w:pPr>
      <m:oMathPara>
        <m:oMath>
          <m:r>
            <w:rPr>
              <w:rFonts w:ascii="Cambria Math" w:eastAsia="Times New Roman" w:hAnsi="Cambria Math" w:cs="Times New Roman"/>
              <w:color w:val="0070C0"/>
              <w:kern w:val="0"/>
              <w:sz w:val="24"/>
              <w:szCs w:val="24"/>
              <w:lang w:eastAsia="en-GB"/>
              <w14:ligatures w14:val="none"/>
            </w:rPr>
            <m:t>FV=P×</m:t>
          </m:r>
          <m:f>
            <m:fPr>
              <m:ctrlPr>
                <w:rPr>
                  <w:rFonts w:ascii="Cambria Math" w:eastAsia="Times New Roman" w:hAnsi="Cambria Math" w:cs="Times New Roman"/>
                  <w:i/>
                  <w:color w:val="0070C0"/>
                  <w:kern w:val="0"/>
                  <w:sz w:val="24"/>
                  <w:szCs w:val="24"/>
                  <w:lang w:eastAsia="en-GB"/>
                  <w14:ligatures w14:val="none"/>
                </w:rPr>
              </m:ctrlPr>
            </m:fPr>
            <m:num>
              <m:sSup>
                <m:sSupPr>
                  <m:ctrlPr>
                    <w:rPr>
                      <w:rFonts w:ascii="Cambria Math" w:eastAsia="Times New Roman" w:hAnsi="Cambria Math" w:cs="Times New Roman"/>
                      <w:i/>
                      <w:color w:val="0070C0"/>
                      <w:kern w:val="0"/>
                      <w:sz w:val="24"/>
                      <w:szCs w:val="24"/>
                      <w:lang w:eastAsia="en-GB"/>
                      <w14:ligatures w14:val="none"/>
                    </w:rPr>
                  </m:ctrlPr>
                </m:sSupPr>
                <m:e>
                  <m:d>
                    <m:dPr>
                      <m:ctrlPr>
                        <w:rPr>
                          <w:rFonts w:ascii="Cambria Math" w:eastAsia="Times New Roman" w:hAnsi="Cambria Math" w:cs="Times New Roman"/>
                          <w:i/>
                          <w:color w:val="0070C0"/>
                          <w:kern w:val="0"/>
                          <w:sz w:val="24"/>
                          <w:szCs w:val="24"/>
                          <w:lang w:eastAsia="en-GB"/>
                          <w14:ligatures w14:val="none"/>
                        </w:rPr>
                      </m:ctrlPr>
                    </m:dPr>
                    <m:e>
                      <m:r>
                        <w:rPr>
                          <w:rFonts w:ascii="Cambria Math" w:eastAsia="Times New Roman" w:hAnsi="Cambria Math" w:cs="Times New Roman"/>
                          <w:color w:val="0070C0"/>
                          <w:kern w:val="0"/>
                          <w:sz w:val="24"/>
                          <w:szCs w:val="24"/>
                          <w:lang w:eastAsia="en-GB"/>
                          <w14:ligatures w14:val="none"/>
                        </w:rPr>
                        <m:t>1+r</m:t>
                      </m:r>
                    </m:e>
                  </m:d>
                </m:e>
                <m:sup>
                  <m:r>
                    <w:rPr>
                      <w:rFonts w:ascii="Cambria Math" w:eastAsia="Times New Roman" w:hAnsi="Cambria Math" w:cs="Times New Roman"/>
                      <w:color w:val="0070C0"/>
                      <w:kern w:val="0"/>
                      <w:sz w:val="24"/>
                      <w:szCs w:val="24"/>
                      <w:lang w:eastAsia="en-GB"/>
                      <w14:ligatures w14:val="none"/>
                    </w:rPr>
                    <m:t>n</m:t>
                  </m:r>
                </m:sup>
              </m:sSup>
              <m:r>
                <w:rPr>
                  <w:rFonts w:ascii="Cambria Math" w:eastAsia="Times New Roman" w:hAnsi="Cambria Math" w:cs="Times New Roman"/>
                  <w:color w:val="0070C0"/>
                  <w:kern w:val="0"/>
                  <w:sz w:val="24"/>
                  <w:szCs w:val="24"/>
                  <w:lang w:eastAsia="en-GB"/>
                  <w14:ligatures w14:val="none"/>
                </w:rPr>
                <m:t>-1</m:t>
              </m:r>
            </m:num>
            <m:den>
              <m:r>
                <w:rPr>
                  <w:rFonts w:ascii="Cambria Math" w:eastAsia="Times New Roman" w:hAnsi="Cambria Math" w:cs="Times New Roman"/>
                  <w:color w:val="0070C0"/>
                  <w:kern w:val="0"/>
                  <w:sz w:val="24"/>
                  <w:szCs w:val="24"/>
                  <w:lang w:eastAsia="en-GB"/>
                  <w14:ligatures w14:val="none"/>
                </w:rPr>
                <m:t>r</m:t>
              </m:r>
            </m:den>
          </m:f>
          <m:r>
            <w:rPr>
              <w:rFonts w:ascii="Cambria Math" w:eastAsia="Times New Roman" w:hAnsi="Cambria Math" w:cs="Times New Roman"/>
              <w:color w:val="0070C0"/>
              <w:kern w:val="0"/>
              <w:sz w:val="24"/>
              <w:szCs w:val="24"/>
              <w:lang w:eastAsia="en-GB"/>
              <w14:ligatures w14:val="none"/>
            </w:rPr>
            <m:t>×</m:t>
          </m:r>
          <m:d>
            <m:dPr>
              <m:ctrlPr>
                <w:rPr>
                  <w:rFonts w:ascii="Cambria Math" w:eastAsia="Times New Roman" w:hAnsi="Cambria Math" w:cs="Times New Roman"/>
                  <w:i/>
                  <w:color w:val="0070C0"/>
                  <w:kern w:val="0"/>
                  <w:sz w:val="24"/>
                  <w:szCs w:val="24"/>
                  <w:lang w:eastAsia="en-GB"/>
                  <w14:ligatures w14:val="none"/>
                </w:rPr>
              </m:ctrlPr>
            </m:dPr>
            <m:e>
              <m:r>
                <w:rPr>
                  <w:rFonts w:ascii="Cambria Math" w:eastAsia="Times New Roman" w:hAnsi="Cambria Math" w:cs="Times New Roman"/>
                  <w:color w:val="0070C0"/>
                  <w:kern w:val="0"/>
                  <w:sz w:val="24"/>
                  <w:szCs w:val="24"/>
                  <w:lang w:eastAsia="en-GB"/>
                  <w14:ligatures w14:val="none"/>
                </w:rPr>
                <m:t>1+r</m:t>
              </m:r>
            </m:e>
          </m:d>
        </m:oMath>
      </m:oMathPara>
    </w:p>
    <w:p w14:paraId="6921C6A1" w14:textId="77777777" w:rsidR="00BC7424" w:rsidRPr="00E039C0" w:rsidRDefault="00BC7424" w:rsidP="00C0558E">
      <w:pPr>
        <w:spacing w:after="0" w:line="240" w:lineRule="auto"/>
        <w:jc w:val="both"/>
        <w:rPr>
          <w:rFonts w:ascii="Times New Roman" w:eastAsia="Times New Roman" w:hAnsi="Times New Roman" w:cs="Times New Roman"/>
          <w:color w:val="EE0000"/>
          <w:kern w:val="0"/>
          <w:sz w:val="24"/>
          <w:szCs w:val="24"/>
          <w:lang w:eastAsia="en-GB"/>
          <w14:ligatures w14:val="none"/>
        </w:rPr>
      </w:pPr>
    </w:p>
    <w:p w14:paraId="0BB5A7F2" w14:textId="77777777" w:rsidR="00E039C0" w:rsidRPr="00DB4261" w:rsidRDefault="00E039C0" w:rsidP="00C0558E">
      <w:pPr>
        <w:spacing w:after="0" w:line="240" w:lineRule="auto"/>
        <w:jc w:val="both"/>
        <w:rPr>
          <w:rFonts w:ascii="Times New Roman" w:eastAsia="Times New Roman" w:hAnsi="Times New Roman" w:cs="Times New Roman"/>
          <w:kern w:val="0"/>
          <w:sz w:val="24"/>
          <w:szCs w:val="24"/>
          <w:lang w:eastAsia="en-GB"/>
          <w14:ligatures w14:val="none"/>
        </w:rPr>
      </w:pPr>
    </w:p>
    <w:p w14:paraId="00335CE0" w14:textId="6E681D8E" w:rsidR="00DB4261" w:rsidRP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The impact of this shift is massive. For example, redirecting a ₹4,000 monthly alcohol spend into a Family Prosperity Fund yielding 12% annually for 20 years results in a corpus of approximately ₹40 Lakhs. This capital is sufficient to clear a home loan or provide a high-quality education, instantly elevating a family's socio-economic status.</w:t>
      </w:r>
    </w:p>
    <w:p w14:paraId="4D7EB7D2" w14:textId="77777777" w:rsidR="00DB4261" w:rsidRPr="00DB4261" w:rsidRDefault="00DB4261" w:rsidP="00C0558E">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DB4261">
        <w:rPr>
          <w:rFonts w:ascii="Times New Roman" w:eastAsia="Times New Roman" w:hAnsi="Times New Roman" w:cs="Times New Roman"/>
          <w:b/>
          <w:bCs/>
          <w:kern w:val="0"/>
          <w:sz w:val="27"/>
          <w:szCs w:val="27"/>
          <w:lang w:eastAsia="en-GB"/>
          <w14:ligatures w14:val="none"/>
        </w:rPr>
        <w:t>Visualization: The Growth of Sobriety</w:t>
      </w:r>
    </w:p>
    <w:p w14:paraId="115EC0D8" w14:textId="77777777" w:rsid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The following chart illustrates the compounding effect of redirecting ₹4,000 per month into a prosperity fund. While the initial growth is steady, the "dividend" explodes in the second decade, showcasing the power of long-term financial discipline.</w:t>
      </w:r>
    </w:p>
    <w:p w14:paraId="7B18E041" w14:textId="1D0CFA69" w:rsidR="00DB4261" w:rsidRDefault="00DB4261" w:rsidP="00C0558E">
      <w:pPr>
        <w:spacing w:after="100" w:afterAutospacing="1" w:line="240" w:lineRule="auto"/>
        <w:jc w:val="both"/>
        <w:rPr>
          <w:rFonts w:ascii="Times New Roman" w:eastAsia="Times New Roman" w:hAnsi="Times New Roman" w:cs="Times New Roman"/>
          <w:b/>
          <w:bCs/>
          <w:kern w:val="0"/>
          <w:sz w:val="24"/>
          <w:szCs w:val="24"/>
          <w:lang w:eastAsia="en-GB"/>
          <w14:ligatures w14:val="none"/>
        </w:rPr>
      </w:pPr>
      <w:r w:rsidRPr="00DB4261">
        <w:rPr>
          <w:rFonts w:ascii="Times New Roman" w:eastAsia="Times New Roman" w:hAnsi="Times New Roman" w:cs="Times New Roman"/>
          <w:b/>
          <w:bCs/>
          <w:kern w:val="0"/>
          <w:sz w:val="24"/>
          <w:szCs w:val="24"/>
          <w:lang w:eastAsia="en-GB"/>
          <w14:ligatures w14:val="none"/>
        </w:rPr>
        <w:t>"The Sobriety Dividend: Wealth Creation through Redirected Savings" - A line graph showing exponential wealth growth over 20 years.</w:t>
      </w:r>
    </w:p>
    <w:p w14:paraId="0FB8327C" w14:textId="77777777" w:rsidR="00FA229F" w:rsidRDefault="00775024" w:rsidP="00FA229F">
      <w:pPr>
        <w:keepNext/>
        <w:spacing w:after="100" w:afterAutospacing="1" w:line="240" w:lineRule="auto"/>
        <w:jc w:val="both"/>
      </w:pPr>
      <w:r>
        <w:rPr>
          <w:rFonts w:ascii="Times New Roman" w:eastAsia="Times New Roman" w:hAnsi="Times New Roman" w:cs="Times New Roman"/>
          <w:noProof/>
          <w:kern w:val="0"/>
          <w:sz w:val="24"/>
          <w:szCs w:val="24"/>
          <w:lang w:eastAsia="en-GB"/>
        </w:rPr>
        <w:drawing>
          <wp:inline distT="0" distB="0" distL="0" distR="0" wp14:anchorId="70B691E1" wp14:editId="52A039B5">
            <wp:extent cx="5622471" cy="3279669"/>
            <wp:effectExtent l="0" t="0" r="0" b="0"/>
            <wp:docPr id="694593764" name="Picture 20" descr="A green line graph with whit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3764" name="Picture 20" descr="A green line graph with white lines"/>
                    <pic:cNvPicPr/>
                  </pic:nvPicPr>
                  <pic:blipFill>
                    <a:blip r:embed="rId18">
                      <a:extLst>
                        <a:ext uri="{28A0092B-C50C-407E-A947-70E740481C1C}">
                          <a14:useLocalDpi xmlns:a14="http://schemas.microsoft.com/office/drawing/2010/main" val="0"/>
                        </a:ext>
                      </a:extLst>
                    </a:blip>
                    <a:stretch>
                      <a:fillRect/>
                    </a:stretch>
                  </pic:blipFill>
                  <pic:spPr>
                    <a:xfrm>
                      <a:off x="0" y="0"/>
                      <a:ext cx="5792870" cy="3379065"/>
                    </a:xfrm>
                    <a:prstGeom prst="rect">
                      <a:avLst/>
                    </a:prstGeom>
                  </pic:spPr>
                </pic:pic>
              </a:graphicData>
            </a:graphic>
          </wp:inline>
        </w:drawing>
      </w:r>
    </w:p>
    <w:p w14:paraId="16BDE20C" w14:textId="6F1CF0F6" w:rsidR="00DD6760" w:rsidRDefault="00FA229F" w:rsidP="00FA229F">
      <w:pPr>
        <w:pStyle w:val="Caption"/>
        <w:jc w:val="center"/>
      </w:pPr>
      <w:r>
        <w:t xml:space="preserve">Figure </w:t>
      </w:r>
      <w:fldSimple w:instr=" SEQ Figure \* ARABIC ">
        <w:r>
          <w:rPr>
            <w:noProof/>
          </w:rPr>
          <w:t>12</w:t>
        </w:r>
      </w:fldSimple>
      <w:r>
        <w:t>: Wealth creation through redirected savings</w:t>
      </w:r>
    </w:p>
    <w:p w14:paraId="414910C0" w14:textId="77777777" w:rsidR="00A75C13" w:rsidRDefault="00A75C13" w:rsidP="00A75C13">
      <w:pPr>
        <w:rPr>
          <w:lang w:eastAsia="en-GB"/>
        </w:rPr>
      </w:pPr>
    </w:p>
    <w:p w14:paraId="4829BB20" w14:textId="77777777" w:rsidR="00A75C13" w:rsidRDefault="00A75C13" w:rsidP="00A75C13">
      <w:pPr>
        <w:rPr>
          <w:lang w:eastAsia="en-GB"/>
        </w:rPr>
      </w:pPr>
    </w:p>
    <w:p w14:paraId="0B6E0FB1" w14:textId="77777777" w:rsidR="00A75C13" w:rsidRPr="00DB4261" w:rsidRDefault="00A75C13" w:rsidP="00A75C13">
      <w:pPr>
        <w:rPr>
          <w:lang w:eastAsia="en-GB"/>
        </w:rPr>
      </w:pPr>
    </w:p>
    <w:p w14:paraId="046009E3" w14:textId="77777777" w:rsidR="00DB4261" w:rsidRPr="00DB4261" w:rsidRDefault="00DB4261" w:rsidP="00C0558E">
      <w:pPr>
        <w:spacing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DB4261">
        <w:rPr>
          <w:rFonts w:ascii="Times New Roman" w:eastAsia="Times New Roman" w:hAnsi="Times New Roman" w:cs="Times New Roman"/>
          <w:b/>
          <w:bCs/>
          <w:kern w:val="0"/>
          <w:sz w:val="27"/>
          <w:szCs w:val="27"/>
          <w:lang w:eastAsia="en-GB"/>
          <w14:ligatures w14:val="none"/>
        </w:rPr>
        <w:t>A Strategic Roadmap for Implementation</w:t>
      </w:r>
    </w:p>
    <w:p w14:paraId="73680F12" w14:textId="72A43593" w:rsidR="00DB4261" w:rsidRPr="00DB4261" w:rsidRDefault="00DB4261" w:rsidP="00C0558E">
      <w:pPr>
        <w:spacing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To transition from consumption to prosperity, we propose a "Triple-Lock" strategy:</w:t>
      </w:r>
    </w:p>
    <w:p w14:paraId="63972CA3" w14:textId="736A5051" w:rsidR="00DB4261" w:rsidRDefault="00DB4261" w:rsidP="00C0558E">
      <w:pPr>
        <w:numPr>
          <w:ilvl w:val="0"/>
          <w:numId w:val="20"/>
        </w:numPr>
        <w:spacing w:before="240"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b/>
          <w:bCs/>
          <w:kern w:val="0"/>
          <w:sz w:val="24"/>
          <w:szCs w:val="24"/>
          <w:lang w:eastAsia="en-GB"/>
          <w14:ligatures w14:val="none"/>
        </w:rPr>
        <w:t>Digital Biometric Verification:</w:t>
      </w:r>
      <w:r w:rsidRPr="00DB4261">
        <w:rPr>
          <w:rFonts w:ascii="Times New Roman" w:eastAsia="Times New Roman" w:hAnsi="Times New Roman" w:cs="Times New Roman"/>
          <w:kern w:val="0"/>
          <w:sz w:val="24"/>
          <w:szCs w:val="24"/>
          <w:lang w:eastAsia="en-GB"/>
          <w14:ligatures w14:val="none"/>
        </w:rPr>
        <w:t xml:space="preserve"> Implementing Aadhaar-linked age checks to eliminate unauthorized retail access for minors.</w:t>
      </w:r>
    </w:p>
    <w:p w14:paraId="21AD3D9F" w14:textId="661D8491" w:rsidR="00DB4261" w:rsidRDefault="00DB4261" w:rsidP="00C0558E">
      <w:pPr>
        <w:numPr>
          <w:ilvl w:val="0"/>
          <w:numId w:val="20"/>
        </w:numPr>
        <w:spacing w:before="240"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b/>
          <w:bCs/>
          <w:kern w:val="0"/>
          <w:sz w:val="24"/>
          <w:szCs w:val="24"/>
          <w:lang w:eastAsia="en-GB"/>
          <w14:ligatures w14:val="none"/>
        </w:rPr>
        <w:t>Cognitive Education:</w:t>
      </w:r>
      <w:r w:rsidRPr="00DB4261">
        <w:rPr>
          <w:rFonts w:ascii="Times New Roman" w:eastAsia="Times New Roman" w:hAnsi="Times New Roman" w:cs="Times New Roman"/>
          <w:kern w:val="0"/>
          <w:sz w:val="24"/>
          <w:szCs w:val="24"/>
          <w:lang w:eastAsia="en-GB"/>
          <w14:ligatures w14:val="none"/>
        </w:rPr>
        <w:t xml:space="preserve"> Shifting from "moral warnings" to a biology-based curriculum that explains how alcohol affects the developing teenage brain.</w:t>
      </w:r>
    </w:p>
    <w:p w14:paraId="67A2A4E8" w14:textId="5CE7F8AA" w:rsidR="0070406E" w:rsidRPr="0070406E" w:rsidRDefault="00DB4261" w:rsidP="00C0558E">
      <w:pPr>
        <w:numPr>
          <w:ilvl w:val="0"/>
          <w:numId w:val="20"/>
        </w:numPr>
        <w:spacing w:before="240"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b/>
          <w:bCs/>
          <w:kern w:val="0"/>
          <w:sz w:val="24"/>
          <w:szCs w:val="24"/>
          <w:lang w:eastAsia="en-GB"/>
          <w14:ligatures w14:val="none"/>
        </w:rPr>
        <w:t>Community Incentives:</w:t>
      </w:r>
      <w:r w:rsidRPr="00DB4261">
        <w:rPr>
          <w:rFonts w:ascii="Times New Roman" w:eastAsia="Times New Roman" w:hAnsi="Times New Roman" w:cs="Times New Roman"/>
          <w:kern w:val="0"/>
          <w:sz w:val="24"/>
          <w:szCs w:val="24"/>
          <w:lang w:eastAsia="en-GB"/>
          <w14:ligatures w14:val="none"/>
        </w:rPr>
        <w:t xml:space="preserve"> Providing development grants to "Dry Panchayats" that maintain zero-alcohol zones near schools, creating a local ecosystem that prizes health and savings</w:t>
      </w:r>
      <w:r w:rsidR="0070406E">
        <w:rPr>
          <w:rFonts w:ascii="Times New Roman" w:eastAsia="Times New Roman" w:hAnsi="Times New Roman" w:cs="Times New Roman"/>
          <w:kern w:val="0"/>
          <w:sz w:val="24"/>
          <w:szCs w:val="24"/>
          <w:lang w:eastAsia="en-GB"/>
          <w14:ligatures w14:val="none"/>
        </w:rPr>
        <w:t>.</w:t>
      </w:r>
    </w:p>
    <w:p w14:paraId="1588197A" w14:textId="1E8CCB45" w:rsidR="008F571F" w:rsidRPr="008F571F" w:rsidRDefault="00DB4261" w:rsidP="008F571F">
      <w:pPr>
        <w:numPr>
          <w:ilvl w:val="0"/>
          <w:numId w:val="20"/>
        </w:numPr>
        <w:spacing w:before="240" w:after="100" w:afterAutospacing="1" w:line="240" w:lineRule="auto"/>
        <w:jc w:val="both"/>
        <w:rPr>
          <w:rFonts w:ascii="Times New Roman" w:eastAsia="Times New Roman" w:hAnsi="Times New Roman" w:cs="Times New Roman"/>
          <w:kern w:val="0"/>
          <w:sz w:val="24"/>
          <w:szCs w:val="24"/>
          <w:lang w:eastAsia="en-GB"/>
          <w14:ligatures w14:val="none"/>
        </w:rPr>
      </w:pPr>
      <w:r w:rsidRPr="00DB4261">
        <w:rPr>
          <w:rFonts w:ascii="Times New Roman" w:eastAsia="Times New Roman" w:hAnsi="Times New Roman" w:cs="Times New Roman"/>
          <w:kern w:val="0"/>
          <w:sz w:val="24"/>
          <w:szCs w:val="24"/>
          <w:lang w:eastAsia="en-GB"/>
          <w14:ligatures w14:val="none"/>
        </w:rPr>
        <w:t xml:space="preserve">By reframing sobriety as a tool for </w:t>
      </w:r>
      <w:r w:rsidRPr="00DB4261">
        <w:rPr>
          <w:rFonts w:ascii="Times New Roman" w:eastAsia="Times New Roman" w:hAnsi="Times New Roman" w:cs="Times New Roman"/>
          <w:b/>
          <w:bCs/>
          <w:kern w:val="0"/>
          <w:sz w:val="24"/>
          <w:szCs w:val="24"/>
          <w:lang w:eastAsia="en-GB"/>
          <w14:ligatures w14:val="none"/>
        </w:rPr>
        <w:t>economic empowerment</w:t>
      </w:r>
      <w:r w:rsidRPr="00DB4261">
        <w:rPr>
          <w:rFonts w:ascii="Times New Roman" w:eastAsia="Times New Roman" w:hAnsi="Times New Roman" w:cs="Times New Roman"/>
          <w:kern w:val="0"/>
          <w:sz w:val="24"/>
          <w:szCs w:val="24"/>
          <w:lang w:eastAsia="en-GB"/>
          <w14:ligatures w14:val="none"/>
        </w:rPr>
        <w:t xml:space="preserve"> rather than just a moral choice, India can secure its demographic dividend and ensure that household wealth is preserved for the next generation.</w:t>
      </w:r>
    </w:p>
    <w:tbl>
      <w:tblPr>
        <w:tblW w:w="0" w:type="auto"/>
        <w:tblCellSpacing w:w="15" w:type="dxa"/>
        <w:tblCellMar>
          <w:left w:w="0" w:type="dxa"/>
          <w:right w:w="0" w:type="dxa"/>
        </w:tblCellMar>
        <w:tblLook w:val="04A0" w:firstRow="1" w:lastRow="0" w:firstColumn="1" w:lastColumn="0" w:noHBand="0" w:noVBand="1"/>
      </w:tblPr>
      <w:tblGrid>
        <w:gridCol w:w="2356"/>
        <w:gridCol w:w="1816"/>
        <w:gridCol w:w="2742"/>
        <w:gridCol w:w="2562"/>
      </w:tblGrid>
      <w:tr w:rsidR="00405E2B" w:rsidRPr="00405E2B" w14:paraId="356552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612CB"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Expenditure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BDEA4"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Monthly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9452C"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20-Year Growth (12% CAGR)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6BBF"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Future Utility</w:t>
            </w:r>
          </w:p>
        </w:tc>
      </w:tr>
      <w:tr w:rsidR="00405E2B" w:rsidRPr="00405E2B" w14:paraId="020A0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DA539"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Average Alcohol Spend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82345" w14:textId="7EA5A9E1"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 xml:space="preserve">₹4,000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DE44E" w14:textId="28B1060B"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 xml:space="preserve">~₹40,00,000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C8728" w14:textId="5CE95EBA"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 xml:space="preserve">Lost Opportunity </w:t>
            </w:r>
          </w:p>
        </w:tc>
      </w:tr>
      <w:tr w:rsidR="00405E2B" w:rsidRPr="00405E2B" w14:paraId="3D02B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EB937" w14:textId="7777777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b/>
                <w:bCs/>
                <w:color w:val="1F1F1F"/>
                <w:kern w:val="0"/>
                <w:sz w:val="24"/>
                <w:szCs w:val="24"/>
                <w:bdr w:val="none" w:sz="0" w:space="0" w:color="auto" w:frame="1"/>
                <w:lang w:eastAsia="en-GB"/>
                <w14:ligatures w14:val="none"/>
              </w:rPr>
              <w:t>Prosperity Fund (SIP)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44D0D" w14:textId="3E2A46E2"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 xml:space="preserve">₹4,000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C9C93" w14:textId="33B4080E"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 xml:space="preserve">~₹40,00,000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F9DBB" w14:textId="43EC4847" w:rsidR="00405E2B" w:rsidRPr="00405E2B" w:rsidRDefault="00405E2B" w:rsidP="00405E2B">
            <w:pPr>
              <w:spacing w:after="0" w:line="240" w:lineRule="auto"/>
              <w:rPr>
                <w:rFonts w:ascii="Times New Roman" w:eastAsia="Times New Roman" w:hAnsi="Times New Roman" w:cs="Times New Roman"/>
                <w:color w:val="1F1F1F"/>
                <w:kern w:val="0"/>
                <w:sz w:val="24"/>
                <w:szCs w:val="24"/>
                <w:lang w:eastAsia="en-GB"/>
                <w14:ligatures w14:val="none"/>
              </w:rPr>
            </w:pPr>
            <w:r w:rsidRPr="00405E2B">
              <w:rPr>
                <w:rFonts w:ascii="Times New Roman" w:eastAsia="Times New Roman" w:hAnsi="Times New Roman" w:cs="Times New Roman"/>
                <w:color w:val="1F1F1F"/>
                <w:kern w:val="0"/>
                <w:sz w:val="24"/>
                <w:szCs w:val="24"/>
                <w:bdr w:val="none" w:sz="0" w:space="0" w:color="auto" w:frame="1"/>
                <w:lang w:eastAsia="en-GB"/>
                <w14:ligatures w14:val="none"/>
              </w:rPr>
              <w:t>Higher Education / Debt Free</w:t>
            </w:r>
          </w:p>
        </w:tc>
      </w:tr>
    </w:tbl>
    <w:p w14:paraId="348AABC3" w14:textId="36903607" w:rsidR="00405E2B" w:rsidRPr="00405E2B" w:rsidRDefault="002638DA" w:rsidP="00405E2B">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lang w:eastAsia="en-GB"/>
          <w14:ligatures w14:val="none"/>
        </w:rPr>
      </w:pPr>
      <w:r>
        <w:rPr>
          <w:rFonts w:ascii="Times New Roman" w:eastAsia="Times New Roman" w:hAnsi="Times New Roman" w:cs="Times New Roman"/>
          <w:b/>
          <w:bCs/>
          <w:color w:val="0070C0"/>
          <w:kern w:val="0"/>
          <w:sz w:val="36"/>
          <w:szCs w:val="36"/>
          <w:lang w:eastAsia="en-GB"/>
          <w14:ligatures w14:val="none"/>
        </w:rPr>
        <w:t>7</w:t>
      </w:r>
      <w:r w:rsidR="00405E2B" w:rsidRPr="00405E2B">
        <w:rPr>
          <w:rFonts w:ascii="Times New Roman" w:eastAsia="Times New Roman" w:hAnsi="Times New Roman" w:cs="Times New Roman"/>
          <w:b/>
          <w:bCs/>
          <w:color w:val="0070C0"/>
          <w:kern w:val="0"/>
          <w:sz w:val="36"/>
          <w:szCs w:val="36"/>
          <w:lang w:eastAsia="en-GB"/>
          <w14:ligatures w14:val="none"/>
        </w:rPr>
        <w:t>. Conclusion and Future Roadmap</w:t>
      </w:r>
    </w:p>
    <w:p w14:paraId="46EC1CA0" w14:textId="77653654" w:rsidR="00405E2B" w:rsidRPr="00405E2B" w:rsidRDefault="00E63813" w:rsidP="007750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00405E2B" w:rsidRPr="00405E2B">
        <w:rPr>
          <w:rFonts w:ascii="Times New Roman" w:eastAsia="Times New Roman" w:hAnsi="Times New Roman" w:cs="Times New Roman"/>
          <w:b/>
          <w:bCs/>
          <w:kern w:val="0"/>
          <w:sz w:val="27"/>
          <w:szCs w:val="27"/>
          <w:lang w:eastAsia="en-GB"/>
          <w14:ligatures w14:val="none"/>
        </w:rPr>
        <w:t>.1 The Human Narrative: Beyond the Percentages</w:t>
      </w:r>
    </w:p>
    <w:p w14:paraId="6B12F639" w14:textId="77777777" w:rsidR="00405E2B" w:rsidRPr="00405E2B" w:rsidRDefault="00405E2B"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The 2021 analysis of alcohol consumption across India reveals a story that statistics alone cannot tell. It is a narrative of hidden economic leaks in households and a silent threat to the nation's "Demographic Dividend". While alcohol remains a significant source of state revenue, this study proves that the long-term "drain" on family wealth and public health systems is far more substantial. By humanizing this data, we recognize that every percentage point represents a father, a breadwinner, or a youth whose potential is being curtailed by a "silent tax" that erodes their future.</w:t>
      </w:r>
    </w:p>
    <w:p w14:paraId="3B401B06" w14:textId="0212DCE7" w:rsidR="00405E2B" w:rsidRPr="00405E2B" w:rsidRDefault="00E63813" w:rsidP="007750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00405E2B" w:rsidRPr="00405E2B">
        <w:rPr>
          <w:rFonts w:ascii="Times New Roman" w:eastAsia="Times New Roman" w:hAnsi="Times New Roman" w:cs="Times New Roman"/>
          <w:b/>
          <w:bCs/>
          <w:kern w:val="0"/>
          <w:sz w:val="27"/>
          <w:szCs w:val="27"/>
          <w:lang w:eastAsia="en-GB"/>
          <w14:ligatures w14:val="none"/>
        </w:rPr>
        <w:t>.2 Synthesis of Exploratory Data Analysis (EDA)</w:t>
      </w:r>
    </w:p>
    <w:p w14:paraId="25597911" w14:textId="77777777" w:rsidR="00405E2B" w:rsidRPr="00405E2B" w:rsidRDefault="00405E2B"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Our data-driven journey has uncovered critical geographical and socio-economic patterns:</w:t>
      </w:r>
    </w:p>
    <w:p w14:paraId="74864A61" w14:textId="77777777" w:rsidR="00405E2B" w:rsidRDefault="00405E2B" w:rsidP="00775024">
      <w:pPr>
        <w:numPr>
          <w:ilvl w:val="0"/>
          <w:numId w:val="21"/>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The Rural Vulnerability:</w:t>
      </w:r>
      <w:r w:rsidRPr="00405E2B">
        <w:rPr>
          <w:rFonts w:ascii="Times New Roman" w:eastAsia="Times New Roman" w:hAnsi="Times New Roman" w:cs="Times New Roman"/>
          <w:kern w:val="0"/>
          <w:sz w:val="24"/>
          <w:szCs w:val="24"/>
          <w:lang w:eastAsia="en-GB"/>
          <w14:ligatures w14:val="none"/>
        </w:rPr>
        <w:t xml:space="preserve"> A stark disparity exists where rural men consume alcohol at a significantly higher rate (19.92%) than their urban counterparts (16.53%), highlighting a desperate need for rural-focused intervention.</w:t>
      </w:r>
    </w:p>
    <w:p w14:paraId="66F46339" w14:textId="77777777" w:rsidR="0070406E" w:rsidRPr="00405E2B" w:rsidRDefault="0070406E" w:rsidP="00775024">
      <w:pPr>
        <w:spacing w:after="0"/>
        <w:jc w:val="both"/>
        <w:rPr>
          <w:rFonts w:ascii="Times New Roman" w:eastAsia="Times New Roman" w:hAnsi="Times New Roman" w:cs="Times New Roman"/>
          <w:kern w:val="0"/>
          <w:sz w:val="24"/>
          <w:szCs w:val="24"/>
          <w:lang w:eastAsia="en-GB"/>
          <w14:ligatures w14:val="none"/>
        </w:rPr>
      </w:pPr>
    </w:p>
    <w:p w14:paraId="4AE563FD" w14:textId="40A998B4" w:rsidR="0070406E" w:rsidRDefault="00405E2B" w:rsidP="00775024">
      <w:pPr>
        <w:numPr>
          <w:ilvl w:val="0"/>
          <w:numId w:val="21"/>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The North-East Crisis:</w:t>
      </w:r>
      <w:r w:rsidRPr="00405E2B">
        <w:rPr>
          <w:rFonts w:ascii="Times New Roman" w:eastAsia="Times New Roman" w:hAnsi="Times New Roman" w:cs="Times New Roman"/>
          <w:kern w:val="0"/>
          <w:sz w:val="24"/>
          <w:szCs w:val="24"/>
          <w:lang w:eastAsia="en-GB"/>
          <w14:ligatures w14:val="none"/>
        </w:rPr>
        <w:t xml:space="preserve"> Machine Learning clusters identify Arunachal Pradesh and Sikkim as "High Risk" zones where male consumption exceeds 45%, requiring immediate, culturally sensitive health de-addiction facilities.</w:t>
      </w:r>
    </w:p>
    <w:p w14:paraId="467BAE5F" w14:textId="77777777" w:rsidR="0070406E" w:rsidRPr="0070406E" w:rsidRDefault="0070406E" w:rsidP="00775024">
      <w:pPr>
        <w:spacing w:after="0"/>
        <w:jc w:val="both"/>
        <w:rPr>
          <w:rFonts w:ascii="Times New Roman" w:eastAsia="Times New Roman" w:hAnsi="Times New Roman" w:cs="Times New Roman"/>
          <w:kern w:val="0"/>
          <w:sz w:val="24"/>
          <w:szCs w:val="24"/>
          <w:lang w:eastAsia="en-GB"/>
          <w14:ligatures w14:val="none"/>
        </w:rPr>
      </w:pPr>
    </w:p>
    <w:p w14:paraId="53A8750C" w14:textId="3033B64D" w:rsidR="00405E2B" w:rsidRPr="00405E2B" w:rsidRDefault="00405E2B" w:rsidP="00775024">
      <w:pPr>
        <w:numPr>
          <w:ilvl w:val="0"/>
          <w:numId w:val="21"/>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The Moderate Risk Economic Paradox:</w:t>
      </w:r>
      <w:r w:rsidRPr="00405E2B">
        <w:rPr>
          <w:rFonts w:ascii="Times New Roman" w:eastAsia="Times New Roman" w:hAnsi="Times New Roman" w:cs="Times New Roman"/>
          <w:kern w:val="0"/>
          <w:sz w:val="24"/>
          <w:szCs w:val="24"/>
          <w:lang w:eastAsia="en-GB"/>
          <w14:ligatures w14:val="none"/>
        </w:rPr>
        <w:t xml:space="preserve"> In states like Telangana and Goa, significant consumption (approx. 34% for men) often masks high per-capita income, leading to a massive wealth loss of ₹30L to ₹50L per household over two decades.</w:t>
      </w:r>
    </w:p>
    <w:p w14:paraId="73FD6937" w14:textId="301D64ED" w:rsidR="00405E2B" w:rsidRPr="00405E2B" w:rsidRDefault="00E63813" w:rsidP="007750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00405E2B" w:rsidRPr="00405E2B">
        <w:rPr>
          <w:rFonts w:ascii="Times New Roman" w:eastAsia="Times New Roman" w:hAnsi="Times New Roman" w:cs="Times New Roman"/>
          <w:b/>
          <w:bCs/>
          <w:kern w:val="0"/>
          <w:sz w:val="27"/>
          <w:szCs w:val="27"/>
          <w:lang w:eastAsia="en-GB"/>
          <w14:ligatures w14:val="none"/>
        </w:rPr>
        <w:t>.3 The 2030 Roadmap: A Strategy for Prosperity</w:t>
      </w:r>
    </w:p>
    <w:p w14:paraId="5BBA55B2" w14:textId="77777777" w:rsidR="00405E2B" w:rsidRPr="00405E2B" w:rsidRDefault="00405E2B"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To transition from a revenue-based model to one of wellness and economic empowerment, we propose a strategic roadmap for 2021–2030:</w:t>
      </w:r>
    </w:p>
    <w:p w14:paraId="59B23769" w14:textId="4E788465" w:rsidR="00405E2B" w:rsidRPr="00405E2B" w:rsidRDefault="00405E2B" w:rsidP="00775024">
      <w:p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Immediate (1-2 Years): The Digital and Legal Lock</w:t>
      </w:r>
    </w:p>
    <w:p w14:paraId="696C6F15" w14:textId="65AD256C" w:rsidR="0070406E" w:rsidRDefault="00405E2B" w:rsidP="00775024">
      <w:pPr>
        <w:numPr>
          <w:ilvl w:val="1"/>
          <w:numId w:val="22"/>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Deploy Aadhaar-linked biometric verification for all alcohol transactions to end minor access.</w:t>
      </w:r>
    </w:p>
    <w:p w14:paraId="086B9A1F" w14:textId="77777777" w:rsidR="0070406E" w:rsidRPr="00405E2B" w:rsidRDefault="0070406E" w:rsidP="00775024">
      <w:pPr>
        <w:spacing w:after="0"/>
        <w:ind w:left="1440"/>
        <w:jc w:val="both"/>
        <w:rPr>
          <w:rFonts w:ascii="Times New Roman" w:eastAsia="Times New Roman" w:hAnsi="Times New Roman" w:cs="Times New Roman"/>
          <w:kern w:val="0"/>
          <w:sz w:val="24"/>
          <w:szCs w:val="24"/>
          <w:lang w:eastAsia="en-GB"/>
          <w14:ligatures w14:val="none"/>
        </w:rPr>
      </w:pPr>
    </w:p>
    <w:p w14:paraId="1E2DA68E" w14:textId="77777777" w:rsidR="00405E2B" w:rsidRPr="00405E2B" w:rsidRDefault="00405E2B" w:rsidP="00775024">
      <w:pPr>
        <w:numPr>
          <w:ilvl w:val="1"/>
          <w:numId w:val="22"/>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Enforce 300m alcohol-free "Legal Locks" around all educational institutions.</w:t>
      </w:r>
    </w:p>
    <w:p w14:paraId="585B4E88" w14:textId="77777777" w:rsidR="00405E2B" w:rsidRPr="00405E2B" w:rsidRDefault="00405E2B" w:rsidP="00775024">
      <w:pPr>
        <w:numPr>
          <w:ilvl w:val="0"/>
          <w:numId w:val="22"/>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Short-Term (3-5 Years): The Educational Lock and Financial Integration</w:t>
      </w:r>
    </w:p>
    <w:p w14:paraId="41E0930B" w14:textId="77777777" w:rsidR="00405E2B" w:rsidRDefault="00405E2B" w:rsidP="00775024">
      <w:pPr>
        <w:numPr>
          <w:ilvl w:val="1"/>
          <w:numId w:val="22"/>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Replace "moral preaching" with a science-based "Neuroscience of Addiction" curriculum in high schools, focusing on how alcohol impairs the developing prefrontal cortex.</w:t>
      </w:r>
    </w:p>
    <w:p w14:paraId="766669D2" w14:textId="77777777" w:rsidR="0070406E" w:rsidRPr="00405E2B" w:rsidRDefault="0070406E" w:rsidP="00775024">
      <w:pPr>
        <w:spacing w:after="0"/>
        <w:jc w:val="both"/>
        <w:rPr>
          <w:rFonts w:ascii="Times New Roman" w:eastAsia="Times New Roman" w:hAnsi="Times New Roman" w:cs="Times New Roman"/>
          <w:kern w:val="0"/>
          <w:sz w:val="24"/>
          <w:szCs w:val="24"/>
          <w:lang w:eastAsia="en-GB"/>
          <w14:ligatures w14:val="none"/>
        </w:rPr>
      </w:pPr>
    </w:p>
    <w:p w14:paraId="49FD07B7" w14:textId="77777777" w:rsidR="00405E2B" w:rsidRDefault="00405E2B" w:rsidP="00775024">
      <w:pPr>
        <w:numPr>
          <w:ilvl w:val="1"/>
          <w:numId w:val="22"/>
        </w:numPr>
        <w:spacing w:after="0"/>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Launch the "Family Wealth" mobile app to help citizens visualize their "Sobriety Dividend" in real-time, converting saved money into automated SIPs.</w:t>
      </w:r>
    </w:p>
    <w:p w14:paraId="0B1DCEB3" w14:textId="77777777" w:rsidR="00405E2B" w:rsidRPr="00405E2B" w:rsidRDefault="00405E2B" w:rsidP="00775024">
      <w:pPr>
        <w:numPr>
          <w:ilvl w:val="0"/>
          <w:numId w:val="22"/>
        </w:num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b/>
          <w:bCs/>
          <w:kern w:val="0"/>
          <w:sz w:val="24"/>
          <w:szCs w:val="24"/>
          <w:lang w:eastAsia="en-GB"/>
          <w14:ligatures w14:val="none"/>
        </w:rPr>
        <w:t>Long-Term (5-10 Years): Community-Led Empowerment</w:t>
      </w:r>
    </w:p>
    <w:p w14:paraId="118F6CFE" w14:textId="77777777" w:rsidR="00405E2B" w:rsidRPr="00405E2B" w:rsidRDefault="00405E2B" w:rsidP="00775024">
      <w:pPr>
        <w:numPr>
          <w:ilvl w:val="1"/>
          <w:numId w:val="22"/>
        </w:num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Scale the "Dry Panchayat" initiative, rewarding villages that maintain zero-alcohol zones with additional development grants.</w:t>
      </w:r>
    </w:p>
    <w:p w14:paraId="4654F615" w14:textId="77777777" w:rsidR="00405E2B" w:rsidRPr="00405E2B" w:rsidRDefault="00405E2B" w:rsidP="00775024">
      <w:pPr>
        <w:numPr>
          <w:ilvl w:val="1"/>
          <w:numId w:val="22"/>
        </w:num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Establish "Family Prosperity Funds" in high-risk zones to link de-addiction directly with home ownership and higher education goals.</w:t>
      </w:r>
    </w:p>
    <w:p w14:paraId="44716B1B" w14:textId="3FEF607E" w:rsidR="00405E2B" w:rsidRPr="00405E2B" w:rsidRDefault="00E63813" w:rsidP="007750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7</w:t>
      </w:r>
      <w:r w:rsidR="00405E2B" w:rsidRPr="00405E2B">
        <w:rPr>
          <w:rFonts w:ascii="Times New Roman" w:eastAsia="Times New Roman" w:hAnsi="Times New Roman" w:cs="Times New Roman"/>
          <w:b/>
          <w:bCs/>
          <w:kern w:val="0"/>
          <w:sz w:val="27"/>
          <w:szCs w:val="27"/>
          <w:lang w:eastAsia="en-GB"/>
          <w14:ligatures w14:val="none"/>
        </w:rPr>
        <w:t>.4 Final Verdict</w:t>
      </w:r>
    </w:p>
    <w:p w14:paraId="4E26BEBA" w14:textId="4D7C5B9E" w:rsidR="00405E2B" w:rsidRDefault="00405E2B"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405E2B">
        <w:rPr>
          <w:rFonts w:ascii="Times New Roman" w:eastAsia="Times New Roman" w:hAnsi="Times New Roman" w:cs="Times New Roman"/>
          <w:kern w:val="0"/>
          <w:sz w:val="24"/>
          <w:szCs w:val="24"/>
          <w:lang w:eastAsia="en-GB"/>
          <w14:ligatures w14:val="none"/>
        </w:rPr>
        <w:t>The analysis confirms that targeted, data-driven interventions are far more effective than blanket prohibitions. By treating sobriety as a tool for financial engineering rather than just a moral choice, India can secure its economic future. The "Sobriety Dividend" is not just a calculation; it is a pathway to ensuring that the next generation of Indians is both physically healthy and financially free</w:t>
      </w:r>
      <w:r w:rsidR="00794C61">
        <w:rPr>
          <w:rFonts w:ascii="Times New Roman" w:eastAsia="Times New Roman" w:hAnsi="Times New Roman" w:cs="Times New Roman"/>
          <w:kern w:val="0"/>
          <w:sz w:val="24"/>
          <w:szCs w:val="24"/>
          <w:lang w:eastAsia="en-GB"/>
          <w14:ligatures w14:val="none"/>
        </w:rPr>
        <w:t>.</w:t>
      </w:r>
    </w:p>
    <w:p w14:paraId="27265883" w14:textId="77777777" w:rsidR="00794C61" w:rsidRDefault="00794C61"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7ADAA4AA" w14:textId="77777777" w:rsidR="00794C61" w:rsidRDefault="00794C61"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6CA693AE" w14:textId="77777777" w:rsidR="00794C61" w:rsidRPr="00405E2B" w:rsidRDefault="00794C61" w:rsidP="0077502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p>
    <w:p w14:paraId="3626826C" w14:textId="386DA5A3" w:rsidR="00A75C13" w:rsidRPr="00405E2B" w:rsidRDefault="00E63813" w:rsidP="00A75C13">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lang w:eastAsia="en-GB"/>
          <w14:ligatures w14:val="none"/>
        </w:rPr>
      </w:pPr>
      <w:r>
        <w:rPr>
          <w:rFonts w:ascii="Times New Roman" w:eastAsia="Times New Roman" w:hAnsi="Times New Roman" w:cs="Times New Roman"/>
          <w:b/>
          <w:bCs/>
          <w:color w:val="0070C0"/>
          <w:kern w:val="0"/>
          <w:sz w:val="36"/>
          <w:szCs w:val="36"/>
          <w:lang w:eastAsia="en-GB"/>
          <w14:ligatures w14:val="none"/>
        </w:rPr>
        <w:lastRenderedPageBreak/>
        <w:t>8</w:t>
      </w:r>
      <w:r w:rsidR="00A75C13" w:rsidRPr="00405E2B">
        <w:rPr>
          <w:rFonts w:ascii="Times New Roman" w:eastAsia="Times New Roman" w:hAnsi="Times New Roman" w:cs="Times New Roman"/>
          <w:b/>
          <w:bCs/>
          <w:color w:val="0070C0"/>
          <w:kern w:val="0"/>
          <w:sz w:val="36"/>
          <w:szCs w:val="36"/>
          <w:lang w:eastAsia="en-GB"/>
          <w14:ligatures w14:val="none"/>
        </w:rPr>
        <w:t xml:space="preserve">. </w:t>
      </w:r>
      <w:r w:rsidR="00A75C13">
        <w:rPr>
          <w:rFonts w:ascii="Times New Roman" w:eastAsia="Times New Roman" w:hAnsi="Times New Roman" w:cs="Times New Roman"/>
          <w:b/>
          <w:bCs/>
          <w:color w:val="0070C0"/>
          <w:kern w:val="0"/>
          <w:sz w:val="36"/>
          <w:szCs w:val="36"/>
          <w:lang w:eastAsia="en-GB"/>
          <w14:ligatures w14:val="none"/>
        </w:rPr>
        <w:t>References</w:t>
      </w:r>
    </w:p>
    <w:p w14:paraId="1C6760C0" w14:textId="77777777" w:rsidR="00794C61" w:rsidRPr="00794C61" w:rsidRDefault="00794C61" w:rsidP="00794C61">
      <w:pPr>
        <w:jc w:val="both"/>
      </w:pPr>
      <w:proofErr w:type="spellStart"/>
      <w:r w:rsidRPr="00794C61">
        <w:t>Alebshehy</w:t>
      </w:r>
      <w:proofErr w:type="spellEnd"/>
      <w:r w:rsidRPr="00794C61">
        <w:t xml:space="preserve">, R., Asif, Z., &amp; Boeckmann, M. (2023). Policies regulating retail environment to reduce tobacco availability: A scoping review. </w:t>
      </w:r>
      <w:r w:rsidRPr="00794C61">
        <w:rPr>
          <w:i/>
          <w:iCs/>
        </w:rPr>
        <w:t>Frontiers in Public Health</w:t>
      </w:r>
      <w:r w:rsidRPr="00794C61">
        <w:t xml:space="preserve">, </w:t>
      </w:r>
      <w:r w:rsidRPr="00794C61">
        <w:rPr>
          <w:i/>
          <w:iCs/>
        </w:rPr>
        <w:t>11</w:t>
      </w:r>
      <w:r w:rsidRPr="00794C61">
        <w:t xml:space="preserve">, Article 975065. </w:t>
      </w:r>
      <w:hyperlink r:id="rId19" w:tgtFrame="_blank" w:history="1">
        <w:r w:rsidRPr="00794C61">
          <w:rPr>
            <w:rStyle w:val="Hyperlink"/>
          </w:rPr>
          <w:t>https://doi.org/10.3389/fpubh.2023.975065</w:t>
        </w:r>
      </w:hyperlink>
    </w:p>
    <w:p w14:paraId="44F76896" w14:textId="77777777" w:rsidR="00794C61" w:rsidRPr="00794C61" w:rsidRDefault="00794C61" w:rsidP="00794C61">
      <w:pPr>
        <w:jc w:val="both"/>
      </w:pPr>
      <w:r w:rsidRPr="00794C61">
        <w:t xml:space="preserve">BBC News. (2020, May 4). </w:t>
      </w:r>
      <w:r w:rsidRPr="00794C61">
        <w:rPr>
          <w:i/>
          <w:iCs/>
        </w:rPr>
        <w:t>India alcohol: Why long queues for liquor have returned</w:t>
      </w:r>
      <w:r w:rsidRPr="00794C61">
        <w:t xml:space="preserve">. </w:t>
      </w:r>
      <w:hyperlink r:id="rId20" w:tgtFrame="_blank" w:history="1">
        <w:r w:rsidRPr="00794C61">
          <w:rPr>
            <w:rStyle w:val="Hyperlink"/>
          </w:rPr>
          <w:t>https://www.bbc.com/news/world-asia-india-52526430</w:t>
        </w:r>
      </w:hyperlink>
    </w:p>
    <w:p w14:paraId="62741D3B" w14:textId="77777777" w:rsidR="00794C61" w:rsidRPr="00794C61" w:rsidRDefault="00794C61" w:rsidP="00794C61">
      <w:pPr>
        <w:jc w:val="both"/>
      </w:pPr>
      <w:r w:rsidRPr="00794C61">
        <w:t xml:space="preserve">Hickie, I. B., &amp; Whitwell, B. G. (2009). Alcohol and the teenage brain: Safest to keep them apart. </w:t>
      </w:r>
      <w:r w:rsidRPr="00794C61">
        <w:rPr>
          <w:i/>
          <w:iCs/>
        </w:rPr>
        <w:t>The Medical Journal of Australia</w:t>
      </w:r>
      <w:r w:rsidRPr="00794C61">
        <w:t xml:space="preserve">, </w:t>
      </w:r>
      <w:r w:rsidRPr="00794C61">
        <w:rPr>
          <w:i/>
          <w:iCs/>
        </w:rPr>
        <w:t>190</w:t>
      </w:r>
      <w:r w:rsidRPr="00794C61">
        <w:t xml:space="preserve">(7), 346–347. </w:t>
      </w:r>
      <w:hyperlink r:id="rId21" w:tgtFrame="_blank" w:history="1">
        <w:r w:rsidRPr="00794C61">
          <w:rPr>
            <w:rStyle w:val="Hyperlink"/>
          </w:rPr>
          <w:t>https://doi.org/10.5694/j.1326-5377.2009.tb02448.x</w:t>
        </w:r>
      </w:hyperlink>
    </w:p>
    <w:p w14:paraId="1B923900" w14:textId="77777777" w:rsidR="00794C61" w:rsidRPr="00794C61" w:rsidRDefault="00794C61" w:rsidP="00794C61">
      <w:pPr>
        <w:jc w:val="both"/>
      </w:pPr>
      <w:r w:rsidRPr="00794C61">
        <w:t xml:space="preserve">International Institute for Population Sciences (IIPS) &amp; ICF. (2021). </w:t>
      </w:r>
      <w:r w:rsidRPr="00794C61">
        <w:rPr>
          <w:i/>
          <w:iCs/>
        </w:rPr>
        <w:t>National Family Health Survey (NFHS-5), India, 2019-21: State reports</w:t>
      </w:r>
      <w:r w:rsidRPr="00794C61">
        <w:t xml:space="preserve">. </w:t>
      </w:r>
      <w:hyperlink r:id="rId22" w:tgtFrame="_blank" w:history="1">
        <w:r w:rsidRPr="00794C61">
          <w:rPr>
            <w:rStyle w:val="Hyperlink"/>
          </w:rPr>
          <w:t>https://rchiips.org/nfhs/factsheet_NFHS-5.shtml</w:t>
        </w:r>
      </w:hyperlink>
    </w:p>
    <w:p w14:paraId="53A1834D" w14:textId="77777777" w:rsidR="00794C61" w:rsidRPr="00794C61" w:rsidRDefault="00794C61" w:rsidP="00794C61">
      <w:pPr>
        <w:jc w:val="both"/>
      </w:pPr>
      <w:r w:rsidRPr="00794C61">
        <w:t xml:space="preserve">Lisdahl, K. M., Gilbart, E. R., Wright, N. E., &amp; Shollenbarger, S. (2013). Dare to delay? The impacts of adolescent alcohol and marijuana use onset on cognition, brain structure, and function. </w:t>
      </w:r>
      <w:r w:rsidRPr="00794C61">
        <w:rPr>
          <w:i/>
          <w:iCs/>
        </w:rPr>
        <w:t>Frontiers in Psychiatry</w:t>
      </w:r>
      <w:r w:rsidRPr="00794C61">
        <w:t xml:space="preserve">, </w:t>
      </w:r>
      <w:r w:rsidRPr="00794C61">
        <w:rPr>
          <w:i/>
          <w:iCs/>
        </w:rPr>
        <w:t>4</w:t>
      </w:r>
      <w:r w:rsidRPr="00794C61">
        <w:t xml:space="preserve">, Article 53. </w:t>
      </w:r>
      <w:hyperlink r:id="rId23" w:tgtFrame="_blank" w:history="1">
        <w:r w:rsidRPr="00794C61">
          <w:rPr>
            <w:rStyle w:val="Hyperlink"/>
          </w:rPr>
          <w:t>https://doi.org/10.3389/fpsyt.2013.00053</w:t>
        </w:r>
      </w:hyperlink>
    </w:p>
    <w:p w14:paraId="7636F3B1" w14:textId="77777777" w:rsidR="00794C61" w:rsidRPr="00794C61" w:rsidRDefault="00794C61" w:rsidP="00794C61">
      <w:pPr>
        <w:jc w:val="both"/>
      </w:pPr>
      <w:r w:rsidRPr="00794C61">
        <w:t xml:space="preserve">Mayrhofer, R., Shrestha, B., &amp; Grosse, K. (2025). An architecture for distributed digital identities in the physical world. </w:t>
      </w:r>
      <w:r w:rsidRPr="00794C61">
        <w:rPr>
          <w:i/>
          <w:iCs/>
        </w:rPr>
        <w:t>IEEE Security &amp; Privacy</w:t>
      </w:r>
      <w:r w:rsidRPr="00794C61">
        <w:t xml:space="preserve">, </w:t>
      </w:r>
      <w:r w:rsidRPr="00794C61">
        <w:rPr>
          <w:i/>
          <w:iCs/>
        </w:rPr>
        <w:t>23</w:t>
      </w:r>
      <w:r w:rsidRPr="00794C61">
        <w:t xml:space="preserve">(1). </w:t>
      </w:r>
      <w:hyperlink r:id="rId24" w:tgtFrame="_blank" w:history="1">
        <w:r w:rsidRPr="00794C61">
          <w:rPr>
            <w:rStyle w:val="Hyperlink"/>
          </w:rPr>
          <w:t>https://doi.org/10.1109/MSEC.2024.3410945</w:t>
        </w:r>
      </w:hyperlink>
    </w:p>
    <w:p w14:paraId="352FBB85" w14:textId="77777777" w:rsidR="00794C61" w:rsidRPr="00794C61" w:rsidRDefault="00794C61" w:rsidP="00794C61">
      <w:pPr>
        <w:jc w:val="both"/>
      </w:pPr>
      <w:r w:rsidRPr="00794C61">
        <w:t xml:space="preserve">National Institute on Alcohol Abuse and Alcoholism (NIAAA). (n.d.). </w:t>
      </w:r>
      <w:r w:rsidRPr="00794C61">
        <w:rPr>
          <w:i/>
          <w:iCs/>
        </w:rPr>
        <w:t>Alcohol and the adolescent brain</w:t>
      </w:r>
      <w:r w:rsidRPr="00794C61">
        <w:t xml:space="preserve">. U.S. Department of Health and Human Services. </w:t>
      </w:r>
      <w:hyperlink r:id="rId25" w:tgtFrame="_blank" w:history="1">
        <w:r w:rsidRPr="00794C61">
          <w:rPr>
            <w:rStyle w:val="Hyperlink"/>
          </w:rPr>
          <w:t>https://www.niaaa.nih.gov/publications/brochures-and-fact-sheets/alcohol-and-adolescent-brain</w:t>
        </w:r>
      </w:hyperlink>
    </w:p>
    <w:p w14:paraId="0339BEA7" w14:textId="77777777" w:rsidR="00794C61" w:rsidRPr="00794C61" w:rsidRDefault="00794C61" w:rsidP="00794C61">
      <w:pPr>
        <w:jc w:val="both"/>
      </w:pPr>
      <w:r w:rsidRPr="00794C61">
        <w:t xml:space="preserve">Pedregosa, F., </w:t>
      </w:r>
      <w:proofErr w:type="spellStart"/>
      <w:r w:rsidRPr="00794C61">
        <w:t>Varoquaux</w:t>
      </w:r>
      <w:proofErr w:type="spellEnd"/>
      <w:r w:rsidRPr="00794C61">
        <w:t xml:space="preserve">, G., </w:t>
      </w:r>
      <w:proofErr w:type="spellStart"/>
      <w:r w:rsidRPr="00794C61">
        <w:t>Gramfort</w:t>
      </w:r>
      <w:proofErr w:type="spellEnd"/>
      <w:r w:rsidRPr="00794C61">
        <w:t xml:space="preserve">, A., Michel, V., Thirion, B., Grisel, O., Blondel, M., </w:t>
      </w:r>
      <w:proofErr w:type="spellStart"/>
      <w:r w:rsidRPr="00794C61">
        <w:t>Prettenhofer</w:t>
      </w:r>
      <w:proofErr w:type="spellEnd"/>
      <w:r w:rsidRPr="00794C61">
        <w:t xml:space="preserve">, P., Weiss, R., Dubourg, V., Vanderplas, J., Passos, A., </w:t>
      </w:r>
      <w:proofErr w:type="spellStart"/>
      <w:r w:rsidRPr="00794C61">
        <w:t>Cournapeau</w:t>
      </w:r>
      <w:proofErr w:type="spellEnd"/>
      <w:r w:rsidRPr="00794C61">
        <w:t xml:space="preserve">, D., Brucher, M., Perrot, M., &amp; Duchesnay, E. (2011). Scikit-learn: Machine learning in Python. </w:t>
      </w:r>
      <w:r w:rsidRPr="00794C61">
        <w:rPr>
          <w:i/>
          <w:iCs/>
        </w:rPr>
        <w:t>Journal of Machine Learning Research</w:t>
      </w:r>
      <w:r w:rsidRPr="00794C61">
        <w:t xml:space="preserve">, </w:t>
      </w:r>
      <w:r w:rsidRPr="00794C61">
        <w:rPr>
          <w:i/>
          <w:iCs/>
        </w:rPr>
        <w:t>12</w:t>
      </w:r>
      <w:r w:rsidRPr="00794C61">
        <w:t>, 2825–2830.</w:t>
      </w:r>
    </w:p>
    <w:p w14:paraId="5953BE45" w14:textId="77777777" w:rsidR="00794C61" w:rsidRPr="00794C61" w:rsidRDefault="00794C61" w:rsidP="00794C61">
      <w:pPr>
        <w:jc w:val="both"/>
      </w:pPr>
      <w:r w:rsidRPr="00794C61">
        <w:t xml:space="preserve">Sharma, I., Vashnav, M., &amp; Sharma, R. (2020). COVID-19 pandemic hype: Losers and gainers. </w:t>
      </w:r>
      <w:r w:rsidRPr="00794C61">
        <w:rPr>
          <w:i/>
          <w:iCs/>
        </w:rPr>
        <w:t>Indian Journal of Psychiatry</w:t>
      </w:r>
      <w:r w:rsidRPr="00794C61">
        <w:t xml:space="preserve">, </w:t>
      </w:r>
      <w:r w:rsidRPr="00794C61">
        <w:rPr>
          <w:i/>
          <w:iCs/>
        </w:rPr>
        <w:t>62</w:t>
      </w:r>
      <w:r w:rsidRPr="00794C61">
        <w:t xml:space="preserve">(4), 420–425. </w:t>
      </w:r>
      <w:hyperlink r:id="rId26" w:tgtFrame="_blank" w:history="1">
        <w:r w:rsidRPr="00794C61">
          <w:rPr>
            <w:rStyle w:val="Hyperlink"/>
          </w:rPr>
          <w:t>https://doi.org/10.4103/psychiatry.indianjpsychiatry_1060_20</w:t>
        </w:r>
      </w:hyperlink>
    </w:p>
    <w:p w14:paraId="58BF42E8" w14:textId="169C17E7" w:rsidR="00B5410F" w:rsidRDefault="00794C61" w:rsidP="005C044F">
      <w:pPr>
        <w:jc w:val="both"/>
      </w:pPr>
      <w:r w:rsidRPr="00794C61">
        <w:t xml:space="preserve">UIDAI. (2024). </w:t>
      </w:r>
      <w:r w:rsidRPr="00794C61">
        <w:rPr>
          <w:i/>
          <w:iCs/>
        </w:rPr>
        <w:t>Aadhaar face authentication and biometric standards for digital governance</w:t>
      </w:r>
      <w:r w:rsidRPr="00794C61">
        <w:t xml:space="preserve">. Government of India. </w:t>
      </w:r>
      <w:hyperlink r:id="rId27" w:tgtFrame="_blank" w:history="1">
        <w:r w:rsidRPr="00794C61">
          <w:rPr>
            <w:rStyle w:val="Hyperlink"/>
          </w:rPr>
          <w:t>https://uidai.gov.in/en/ecosystem/authentication-devices-documents.html</w:t>
        </w:r>
      </w:hyperlink>
    </w:p>
    <w:sectPr w:rsidR="00B5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3AE"/>
    <w:multiLevelType w:val="multilevel"/>
    <w:tmpl w:val="D4B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3941"/>
    <w:multiLevelType w:val="multilevel"/>
    <w:tmpl w:val="430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82502"/>
    <w:multiLevelType w:val="multilevel"/>
    <w:tmpl w:val="E8A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45655"/>
    <w:multiLevelType w:val="multilevel"/>
    <w:tmpl w:val="66E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2976"/>
    <w:multiLevelType w:val="multilevel"/>
    <w:tmpl w:val="9646A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1528B"/>
    <w:multiLevelType w:val="multilevel"/>
    <w:tmpl w:val="BE0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72B1"/>
    <w:multiLevelType w:val="multilevel"/>
    <w:tmpl w:val="6F2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2D7F"/>
    <w:multiLevelType w:val="hybridMultilevel"/>
    <w:tmpl w:val="742AE77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D48516F"/>
    <w:multiLevelType w:val="multilevel"/>
    <w:tmpl w:val="B67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6098"/>
    <w:multiLevelType w:val="multilevel"/>
    <w:tmpl w:val="EAE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D606C"/>
    <w:multiLevelType w:val="multilevel"/>
    <w:tmpl w:val="D4C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754F5"/>
    <w:multiLevelType w:val="multilevel"/>
    <w:tmpl w:val="E6B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91358"/>
    <w:multiLevelType w:val="multilevel"/>
    <w:tmpl w:val="9BB8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D53D5"/>
    <w:multiLevelType w:val="multilevel"/>
    <w:tmpl w:val="D6E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41808"/>
    <w:multiLevelType w:val="multilevel"/>
    <w:tmpl w:val="476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A3E67"/>
    <w:multiLevelType w:val="multilevel"/>
    <w:tmpl w:val="6DC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6039B"/>
    <w:multiLevelType w:val="multilevel"/>
    <w:tmpl w:val="F81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E63D9"/>
    <w:multiLevelType w:val="multilevel"/>
    <w:tmpl w:val="76E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D3143"/>
    <w:multiLevelType w:val="multilevel"/>
    <w:tmpl w:val="1E0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9544E"/>
    <w:multiLevelType w:val="multilevel"/>
    <w:tmpl w:val="F3B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204B2"/>
    <w:multiLevelType w:val="multilevel"/>
    <w:tmpl w:val="845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F24C3"/>
    <w:multiLevelType w:val="multilevel"/>
    <w:tmpl w:val="308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12C4D"/>
    <w:multiLevelType w:val="multilevel"/>
    <w:tmpl w:val="A31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17244"/>
    <w:multiLevelType w:val="multilevel"/>
    <w:tmpl w:val="C43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62BBA"/>
    <w:multiLevelType w:val="multilevel"/>
    <w:tmpl w:val="4D7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3144"/>
    <w:multiLevelType w:val="multilevel"/>
    <w:tmpl w:val="6EF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47B0F"/>
    <w:multiLevelType w:val="multilevel"/>
    <w:tmpl w:val="603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A35CA"/>
    <w:multiLevelType w:val="multilevel"/>
    <w:tmpl w:val="A0DC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108724">
    <w:abstractNumId w:val="9"/>
  </w:num>
  <w:num w:numId="2" w16cid:durableId="562565652">
    <w:abstractNumId w:val="3"/>
  </w:num>
  <w:num w:numId="3" w16cid:durableId="1630234868">
    <w:abstractNumId w:val="17"/>
  </w:num>
  <w:num w:numId="4" w16cid:durableId="2099906062">
    <w:abstractNumId w:val="8"/>
  </w:num>
  <w:num w:numId="5" w16cid:durableId="1695494773">
    <w:abstractNumId w:val="26"/>
  </w:num>
  <w:num w:numId="6" w16cid:durableId="813332489">
    <w:abstractNumId w:val="7"/>
  </w:num>
  <w:num w:numId="7" w16cid:durableId="15279412">
    <w:abstractNumId w:val="15"/>
  </w:num>
  <w:num w:numId="8" w16cid:durableId="1109202662">
    <w:abstractNumId w:val="20"/>
  </w:num>
  <w:num w:numId="9" w16cid:durableId="647367591">
    <w:abstractNumId w:val="11"/>
  </w:num>
  <w:num w:numId="10" w16cid:durableId="384838771">
    <w:abstractNumId w:val="13"/>
  </w:num>
  <w:num w:numId="11" w16cid:durableId="1153259505">
    <w:abstractNumId w:val="22"/>
  </w:num>
  <w:num w:numId="12" w16cid:durableId="1072048546">
    <w:abstractNumId w:val="24"/>
  </w:num>
  <w:num w:numId="13" w16cid:durableId="805010560">
    <w:abstractNumId w:val="21"/>
  </w:num>
  <w:num w:numId="14" w16cid:durableId="375087869">
    <w:abstractNumId w:val="1"/>
  </w:num>
  <w:num w:numId="15" w16cid:durableId="774135684">
    <w:abstractNumId w:val="16"/>
  </w:num>
  <w:num w:numId="16" w16cid:durableId="1100761156">
    <w:abstractNumId w:val="23"/>
  </w:num>
  <w:num w:numId="17" w16cid:durableId="1538466849">
    <w:abstractNumId w:val="2"/>
  </w:num>
  <w:num w:numId="18" w16cid:durableId="1396466939">
    <w:abstractNumId w:val="10"/>
  </w:num>
  <w:num w:numId="19" w16cid:durableId="434400890">
    <w:abstractNumId w:val="12"/>
  </w:num>
  <w:num w:numId="20" w16cid:durableId="832840838">
    <w:abstractNumId w:val="6"/>
  </w:num>
  <w:num w:numId="21" w16cid:durableId="1596161319">
    <w:abstractNumId w:val="5"/>
  </w:num>
  <w:num w:numId="22" w16cid:durableId="1734742070">
    <w:abstractNumId w:val="4"/>
  </w:num>
  <w:num w:numId="23" w16cid:durableId="1369063718">
    <w:abstractNumId w:val="27"/>
  </w:num>
  <w:num w:numId="24" w16cid:durableId="903177925">
    <w:abstractNumId w:val="0"/>
  </w:num>
  <w:num w:numId="25" w16cid:durableId="736779549">
    <w:abstractNumId w:val="19"/>
  </w:num>
  <w:num w:numId="26" w16cid:durableId="2073233666">
    <w:abstractNumId w:val="25"/>
  </w:num>
  <w:num w:numId="27" w16cid:durableId="1671330102">
    <w:abstractNumId w:val="14"/>
  </w:num>
  <w:num w:numId="28" w16cid:durableId="567498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A1F62"/>
    <w:rsid w:val="00066C97"/>
    <w:rsid w:val="00131488"/>
    <w:rsid w:val="00226D02"/>
    <w:rsid w:val="0023590F"/>
    <w:rsid w:val="002638DA"/>
    <w:rsid w:val="00293B09"/>
    <w:rsid w:val="002C4982"/>
    <w:rsid w:val="00343642"/>
    <w:rsid w:val="0037531E"/>
    <w:rsid w:val="00375AA0"/>
    <w:rsid w:val="00405E2B"/>
    <w:rsid w:val="004F2630"/>
    <w:rsid w:val="004F3504"/>
    <w:rsid w:val="00560F09"/>
    <w:rsid w:val="0059213D"/>
    <w:rsid w:val="005C044F"/>
    <w:rsid w:val="005F6D89"/>
    <w:rsid w:val="00631488"/>
    <w:rsid w:val="006A66F1"/>
    <w:rsid w:val="0070406E"/>
    <w:rsid w:val="00704BAF"/>
    <w:rsid w:val="00775024"/>
    <w:rsid w:val="00794C61"/>
    <w:rsid w:val="007C12B3"/>
    <w:rsid w:val="007C3185"/>
    <w:rsid w:val="007E262C"/>
    <w:rsid w:val="008F571F"/>
    <w:rsid w:val="009472BC"/>
    <w:rsid w:val="00984176"/>
    <w:rsid w:val="009B7315"/>
    <w:rsid w:val="009F6588"/>
    <w:rsid w:val="00A44239"/>
    <w:rsid w:val="00A75C13"/>
    <w:rsid w:val="00AF405D"/>
    <w:rsid w:val="00B34ACE"/>
    <w:rsid w:val="00B5410F"/>
    <w:rsid w:val="00B91977"/>
    <w:rsid w:val="00BC7424"/>
    <w:rsid w:val="00C0558E"/>
    <w:rsid w:val="00C4217B"/>
    <w:rsid w:val="00C82832"/>
    <w:rsid w:val="00C85F94"/>
    <w:rsid w:val="00C97264"/>
    <w:rsid w:val="00DB4261"/>
    <w:rsid w:val="00DD6760"/>
    <w:rsid w:val="00E039C0"/>
    <w:rsid w:val="00E475F1"/>
    <w:rsid w:val="00E5074F"/>
    <w:rsid w:val="00E60BF4"/>
    <w:rsid w:val="00E63813"/>
    <w:rsid w:val="00E7329A"/>
    <w:rsid w:val="00EA1F62"/>
    <w:rsid w:val="00FA22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8C7A"/>
  <w15:chartTrackingRefBased/>
  <w15:docId w15:val="{1B1B68A6-5D4C-4D5F-BFE4-EA4A29B1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F6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A1F6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A1F6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1F6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A1F6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1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F6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A1F6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A1F6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A1F6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A1F6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A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F62"/>
    <w:rPr>
      <w:rFonts w:eastAsiaTheme="majorEastAsia" w:cstheme="majorBidi"/>
      <w:color w:val="272727" w:themeColor="text1" w:themeTint="D8"/>
    </w:rPr>
  </w:style>
  <w:style w:type="paragraph" w:styleId="Title">
    <w:name w:val="Title"/>
    <w:basedOn w:val="Normal"/>
    <w:next w:val="Normal"/>
    <w:link w:val="TitleChar"/>
    <w:uiPriority w:val="10"/>
    <w:qFormat/>
    <w:rsid w:val="00EA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F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F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F62"/>
    <w:rPr>
      <w:i/>
      <w:iCs/>
      <w:color w:val="404040" w:themeColor="text1" w:themeTint="BF"/>
    </w:rPr>
  </w:style>
  <w:style w:type="paragraph" w:styleId="ListParagraph">
    <w:name w:val="List Paragraph"/>
    <w:basedOn w:val="Normal"/>
    <w:uiPriority w:val="34"/>
    <w:qFormat/>
    <w:rsid w:val="00EA1F62"/>
    <w:pPr>
      <w:ind w:left="720"/>
      <w:contextualSpacing/>
    </w:pPr>
  </w:style>
  <w:style w:type="character" w:styleId="IntenseEmphasis">
    <w:name w:val="Intense Emphasis"/>
    <w:basedOn w:val="DefaultParagraphFont"/>
    <w:uiPriority w:val="21"/>
    <w:qFormat/>
    <w:rsid w:val="00EA1F62"/>
    <w:rPr>
      <w:i/>
      <w:iCs/>
      <w:color w:val="365F91" w:themeColor="accent1" w:themeShade="BF"/>
    </w:rPr>
  </w:style>
  <w:style w:type="paragraph" w:styleId="IntenseQuote">
    <w:name w:val="Intense Quote"/>
    <w:basedOn w:val="Normal"/>
    <w:next w:val="Normal"/>
    <w:link w:val="IntenseQuoteChar"/>
    <w:uiPriority w:val="30"/>
    <w:qFormat/>
    <w:rsid w:val="00EA1F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1F62"/>
    <w:rPr>
      <w:i/>
      <w:iCs/>
      <w:color w:val="365F91" w:themeColor="accent1" w:themeShade="BF"/>
    </w:rPr>
  </w:style>
  <w:style w:type="character" w:styleId="IntenseReference">
    <w:name w:val="Intense Reference"/>
    <w:basedOn w:val="DefaultParagraphFont"/>
    <w:uiPriority w:val="32"/>
    <w:qFormat/>
    <w:rsid w:val="00EA1F62"/>
    <w:rPr>
      <w:b/>
      <w:bCs/>
      <w:smallCaps/>
      <w:color w:val="365F91" w:themeColor="accent1" w:themeShade="BF"/>
      <w:spacing w:val="5"/>
    </w:rPr>
  </w:style>
  <w:style w:type="paragraph" w:styleId="Caption">
    <w:name w:val="caption"/>
    <w:basedOn w:val="Normal"/>
    <w:next w:val="Normal"/>
    <w:uiPriority w:val="35"/>
    <w:unhideWhenUsed/>
    <w:qFormat/>
    <w:rsid w:val="00E5074F"/>
    <w:pPr>
      <w:spacing w:line="240" w:lineRule="auto"/>
    </w:pPr>
    <w:rPr>
      <w:i/>
      <w:iCs/>
      <w:color w:val="1F497D" w:themeColor="text2"/>
      <w:sz w:val="18"/>
      <w:szCs w:val="18"/>
    </w:rPr>
  </w:style>
  <w:style w:type="character" w:styleId="Hyperlink">
    <w:name w:val="Hyperlink"/>
    <w:basedOn w:val="DefaultParagraphFont"/>
    <w:uiPriority w:val="99"/>
    <w:unhideWhenUsed/>
    <w:rsid w:val="00794C61"/>
    <w:rPr>
      <w:color w:val="0000FF" w:themeColor="hyperlink"/>
      <w:u w:val="single"/>
    </w:rPr>
  </w:style>
  <w:style w:type="character" w:styleId="UnresolvedMention">
    <w:name w:val="Unresolved Mention"/>
    <w:basedOn w:val="DefaultParagraphFont"/>
    <w:uiPriority w:val="99"/>
    <w:semiHidden/>
    <w:unhideWhenUsed/>
    <w:rsid w:val="00794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oogle.com/search?q=https://doi.org/10.4103/psychiatry.indianjpsychiatry_1060_20" TargetMode="External"/><Relationship Id="rId3" Type="http://schemas.openxmlformats.org/officeDocument/2006/relationships/styles" Target="styles.xml"/><Relationship Id="rId21" Type="http://schemas.openxmlformats.org/officeDocument/2006/relationships/hyperlink" Target="https://www.google.com/search?q=https://doi.org/10.5694/j.1326-5377.2009.tb02448.x"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google.com/search?q=https://www.niaaa.nih.gov/publications/brochures-and-fact-sheets/alcohol-and-adolescent-bra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oogle.com/search?q=https://www.bbc.com/news/world-asia-india-5252643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oogle.com/search?q=https://doi.org/10.1109/MSEC.2024.3410945"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3389/fpsyt.2013.00053"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oi.org/10.3389/fpubh.2023.97506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oogle.com/search?q=https://rchiips.org/nfhs/factsheet_NFHS-5.shtml" TargetMode="External"/><Relationship Id="rId27" Type="http://schemas.openxmlformats.org/officeDocument/2006/relationships/hyperlink" Target="https://uidai.gov.in/en/ecosystem/authentication-devices-docu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38993-FA5D-4F0D-A41C-3F37DD431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4186</TotalTime>
  <Pages>18</Pages>
  <Words>3769</Words>
  <Characters>21485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 John</dc:creator>
  <cp:keywords/>
  <dc:description/>
  <cp:lastModifiedBy>Joe B John</cp:lastModifiedBy>
  <cp:revision>29</cp:revision>
  <dcterms:created xsi:type="dcterms:W3CDTF">2025-12-31T20:19:00Z</dcterms:created>
  <dcterms:modified xsi:type="dcterms:W3CDTF">2026-01-03T22:50:00Z</dcterms:modified>
</cp:coreProperties>
</file>