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MLPs</w:t>
      </w:r>
    </w:p>
    <w:p w:rsidR="00000000" w:rsidDel="00000000" w:rsidP="00000000" w:rsidRDefault="00000000" w:rsidRPr="00000000" w14:paraId="00000002">
      <w:pPr>
        <w:rPr>
          <w:color w:val="333333"/>
          <w:sz w:val="27"/>
          <w:szCs w:val="27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https://ieeexplore.ieee.org/abstract/document/7740576</w:t>
        </w:r>
      </w:hyperlink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80% (2021)</w:t>
      </w:r>
    </w:p>
    <w:p w:rsidR="00000000" w:rsidDel="00000000" w:rsidP="00000000" w:rsidRDefault="00000000" w:rsidRPr="00000000" w14:paraId="00000003">
      <w:pPr>
        <w:rPr>
          <w:color w:val="333333"/>
          <w:sz w:val="27"/>
          <w:szCs w:val="27"/>
          <w:highlight w:val="white"/>
        </w:rPr>
      </w:pPr>
      <w:hyperlink r:id="rId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https://www.mdpi.com/1099-4300/20/1/35</w:t>
        </w:r>
      </w:hyperlink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(2018)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 healthy (sensitivity of 82.35% and positive predictive value of 84.85% for HC vs. all classification task) and whether a subject does not suffer from AD (specificity of 79.41% and negative predictive value of 84.38% for AD</w:t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https://www.sciencedirect.com/science/article/pii/S0165027012000994?casa_token=LpBmZ_whgVEAAAAA:33S9C6iCKMjDtKOfZ98tI3xlwVh1UDn1GFAkDtQ201JiZKH8My9PfisU-dGCEm_fZtWNSSdr9IZF#sec0075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(2012) </w:t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https://www.mdpi.com/1424-8220/20/24/7212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(2020) 70.97%-RNN 48.18%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dpi.com/1424-8220/20/24/7212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abstract/document/7740576" TargetMode="External"/><Relationship Id="rId7" Type="http://schemas.openxmlformats.org/officeDocument/2006/relationships/hyperlink" Target="https://www.mdpi.com/1099-4300/20/1/35" TargetMode="External"/><Relationship Id="rId8" Type="http://schemas.openxmlformats.org/officeDocument/2006/relationships/hyperlink" Target="https://www.sciencedirect.com/science/article/pii/S0165027012000994?casa_token=LpBmZ_whgVEAAAAA:33S9C6iCKMjDtKOfZ98tI3xlwVh1UDn1GFAkDtQ201JiZKH8My9PfisU-dGCEm_fZtWNSSdr9IZF#sec007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