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1CD1E" w14:textId="77777777" w:rsidR="00DF26AF" w:rsidRPr="00A11EFD" w:rsidRDefault="00CD5F0F" w:rsidP="00114CFA">
      <w:pPr>
        <w:pStyle w:val="Heading1"/>
      </w:pPr>
      <w:bookmarkStart w:id="0" w:name="_al5ms7nm9xfz" w:colFirst="0" w:colLast="0"/>
      <w:bookmarkEnd w:id="0"/>
      <w:r w:rsidRPr="00A11EFD">
        <w:t xml:space="preserve">CYB 310 Project Two </w:t>
      </w:r>
      <w:proofErr w:type="gramStart"/>
      <w:r w:rsidRPr="00A11EFD">
        <w:t>Stepping Stone</w:t>
      </w:r>
      <w:proofErr w:type="gramEnd"/>
      <w:r w:rsidRPr="00A11EFD">
        <w:t xml:space="preserve"> </w:t>
      </w:r>
      <w:r w:rsidRPr="00114CFA">
        <w:t>Template</w:t>
      </w:r>
    </w:p>
    <w:p w14:paraId="39F6BA6F" w14:textId="77777777" w:rsidR="00DF26AF" w:rsidRDefault="00DF26AF" w:rsidP="00114CFA">
      <w:pPr>
        <w:suppressAutoHyphens/>
        <w:spacing w:line="240" w:lineRule="auto"/>
        <w:contextualSpacing/>
      </w:pPr>
    </w:p>
    <w:p w14:paraId="77D24CCC" w14:textId="4098D463" w:rsidR="2736314F" w:rsidRPr="00A11EFD" w:rsidRDefault="2736314F" w:rsidP="00114CFA">
      <w:pPr>
        <w:suppressAutoHyphens/>
        <w:spacing w:line="240" w:lineRule="auto"/>
        <w:contextualSpacing/>
      </w:pPr>
      <w:r w:rsidRPr="00A11EFD">
        <w:rPr>
          <w:rFonts w:ascii="Calibri" w:eastAsia="Calibri" w:hAnsi="Calibri" w:cs="Calibri"/>
          <w:b/>
          <w:bCs/>
          <w:color w:val="000000" w:themeColor="text1"/>
          <w:lang w:val="en-US"/>
        </w:rPr>
        <w:t>Directions</w:t>
      </w:r>
      <w:r w:rsidRPr="00A11EFD">
        <w:rPr>
          <w:rFonts w:ascii="Calibri" w:eastAsia="Calibri" w:hAnsi="Calibri" w:cs="Calibri"/>
          <w:color w:val="000000" w:themeColor="text1"/>
          <w:lang w:val="en-US"/>
        </w:rPr>
        <w:t>: Complete this template by replacing the bracketed text with the relevant information.</w:t>
      </w:r>
    </w:p>
    <w:p w14:paraId="3DDC9917" w14:textId="6E71F7B7" w:rsidR="53C2B7CB" w:rsidRPr="00A11EFD" w:rsidRDefault="53C2B7CB" w:rsidP="00114CFA">
      <w:pPr>
        <w:suppressAutoHyphens/>
        <w:spacing w:line="240" w:lineRule="auto"/>
        <w:contextualSpacing/>
      </w:pPr>
    </w:p>
    <w:p w14:paraId="495B198D" w14:textId="77777777" w:rsidR="00DF26AF" w:rsidRPr="00A11EFD" w:rsidRDefault="00CD5F0F" w:rsidP="00114CFA">
      <w:pPr>
        <w:pStyle w:val="List"/>
        <w:suppressAutoHyphens/>
        <w:contextualSpacing/>
      </w:pPr>
      <w:r w:rsidRPr="00A11EFD">
        <w:t>IDS Best Practices Table</w:t>
      </w:r>
    </w:p>
    <w:p w14:paraId="46F01F46" w14:textId="77777777" w:rsidR="00DF26AF" w:rsidRPr="00A11EFD" w:rsidRDefault="00DF26AF" w:rsidP="00114CFA">
      <w:pPr>
        <w:suppressAutoHyphens/>
        <w:spacing w:line="240" w:lineRule="auto"/>
        <w:ind w:left="1080"/>
        <w:contextualSpacing/>
        <w:rPr>
          <w:rFonts w:ascii="Calibri" w:eastAsia="Calibri" w:hAnsi="Calibri" w:cs="Calibri"/>
          <w:b/>
        </w:rPr>
      </w:pPr>
    </w:p>
    <w:tbl>
      <w:tblPr>
        <w:tblStyle w:val="TableGrid"/>
        <w:tblW w:w="5000" w:type="pct"/>
        <w:tblLook w:val="06A0" w:firstRow="1" w:lastRow="0" w:firstColumn="1" w:lastColumn="0" w:noHBand="1" w:noVBand="1"/>
        <w:tblDescription w:val="Table"/>
      </w:tblPr>
      <w:tblGrid>
        <w:gridCol w:w="2337"/>
        <w:gridCol w:w="2337"/>
        <w:gridCol w:w="2338"/>
        <w:gridCol w:w="2338"/>
      </w:tblGrid>
      <w:tr w:rsidR="00DF26AF" w:rsidRPr="00A11EFD" w14:paraId="6450C5B2" w14:textId="77777777" w:rsidTr="00114CFA">
        <w:trPr>
          <w:cantSplit/>
          <w:tblHeader/>
        </w:trPr>
        <w:tc>
          <w:tcPr>
            <w:tcW w:w="1250" w:type="pct"/>
          </w:tcPr>
          <w:p w14:paraId="601DA513" w14:textId="11A85A10" w:rsidR="00DF26AF" w:rsidRPr="00A11EFD" w:rsidRDefault="00CD5F0F" w:rsidP="00114CFA">
            <w:pPr>
              <w:suppressAutoHyphens/>
              <w:contextualSpacing/>
              <w:jc w:val="center"/>
              <w:rPr>
                <w:rFonts w:ascii="Calibri" w:eastAsia="Calibri" w:hAnsi="Calibri" w:cs="Calibri"/>
              </w:rPr>
            </w:pPr>
            <w:r w:rsidRPr="00114CFA">
              <w:rPr>
                <w:rFonts w:ascii="Calibri" w:eastAsia="Calibri" w:hAnsi="Calibri" w:cs="Calibri"/>
                <w:b/>
                <w:bCs/>
              </w:rPr>
              <w:t>IDS</w:t>
            </w:r>
            <w:r w:rsidRPr="00A11EFD">
              <w:rPr>
                <w:rFonts w:ascii="Calibri" w:eastAsia="Calibri" w:hAnsi="Calibri" w:cs="Calibri"/>
              </w:rPr>
              <w:t xml:space="preserve"> </w:t>
            </w:r>
            <w:r w:rsidR="00114CFA">
              <w:rPr>
                <w:rFonts w:ascii="Calibri" w:eastAsia="Calibri" w:hAnsi="Calibri" w:cs="Calibri"/>
                <w:b/>
                <w:bCs/>
              </w:rPr>
              <w:t>C</w:t>
            </w:r>
            <w:r w:rsidRPr="00114CFA">
              <w:rPr>
                <w:rFonts w:ascii="Calibri" w:eastAsia="Calibri" w:hAnsi="Calibri" w:cs="Calibri"/>
                <w:b/>
                <w:bCs/>
              </w:rPr>
              <w:t>omponent</w:t>
            </w:r>
          </w:p>
        </w:tc>
        <w:tc>
          <w:tcPr>
            <w:tcW w:w="1250" w:type="pct"/>
          </w:tcPr>
          <w:p w14:paraId="6C52A3AB" w14:textId="40EFA42A"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What </w:t>
            </w:r>
            <w:r w:rsidR="00114CFA">
              <w:rPr>
                <w:rFonts w:ascii="Calibri" w:eastAsia="Calibri" w:hAnsi="Calibri" w:cs="Calibri"/>
                <w:b/>
                <w:bCs/>
              </w:rPr>
              <w:t>D</w:t>
            </w:r>
            <w:r w:rsidRPr="00114CFA">
              <w:rPr>
                <w:rFonts w:ascii="Calibri" w:eastAsia="Calibri" w:hAnsi="Calibri" w:cs="Calibri"/>
                <w:b/>
                <w:bCs/>
              </w:rPr>
              <w:t xml:space="preserve">oes </w:t>
            </w:r>
            <w:r w:rsidR="00114CFA">
              <w:rPr>
                <w:rFonts w:ascii="Calibri" w:eastAsia="Calibri" w:hAnsi="Calibri" w:cs="Calibri"/>
                <w:b/>
                <w:bCs/>
              </w:rPr>
              <w:t>I</w:t>
            </w:r>
            <w:r w:rsidRPr="00114CFA">
              <w:rPr>
                <w:rFonts w:ascii="Calibri" w:eastAsia="Calibri" w:hAnsi="Calibri" w:cs="Calibri"/>
                <w:b/>
                <w:bCs/>
              </w:rPr>
              <w:t xml:space="preserve">t </w:t>
            </w:r>
            <w:r w:rsidR="00114CFA">
              <w:rPr>
                <w:rFonts w:ascii="Calibri" w:eastAsia="Calibri" w:hAnsi="Calibri" w:cs="Calibri"/>
                <w:b/>
                <w:bCs/>
              </w:rPr>
              <w:t>D</w:t>
            </w:r>
            <w:r w:rsidRPr="00114CFA">
              <w:rPr>
                <w:rFonts w:ascii="Calibri" w:eastAsia="Calibri" w:hAnsi="Calibri" w:cs="Calibri"/>
                <w:b/>
                <w:bCs/>
              </w:rPr>
              <w:t>etect?</w:t>
            </w:r>
          </w:p>
        </w:tc>
        <w:tc>
          <w:tcPr>
            <w:tcW w:w="1250" w:type="pct"/>
          </w:tcPr>
          <w:p w14:paraId="5B887175" w14:textId="60F4C347"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What </w:t>
            </w:r>
            <w:r w:rsidR="00114CFA">
              <w:rPr>
                <w:rFonts w:ascii="Calibri" w:eastAsia="Calibri" w:hAnsi="Calibri" w:cs="Calibri"/>
                <w:b/>
                <w:bCs/>
              </w:rPr>
              <w:t>C</w:t>
            </w:r>
            <w:r w:rsidRPr="00114CFA">
              <w:rPr>
                <w:rFonts w:ascii="Calibri" w:eastAsia="Calibri" w:hAnsi="Calibri" w:cs="Calibri"/>
                <w:b/>
                <w:bCs/>
              </w:rPr>
              <w:t xml:space="preserve">ould a </w:t>
            </w:r>
            <w:r w:rsidR="00114CFA">
              <w:rPr>
                <w:rFonts w:ascii="Calibri" w:eastAsia="Calibri" w:hAnsi="Calibri" w:cs="Calibri"/>
                <w:b/>
                <w:bCs/>
              </w:rPr>
              <w:t>T</w:t>
            </w:r>
            <w:r w:rsidRPr="00114CFA">
              <w:rPr>
                <w:rFonts w:ascii="Calibri" w:eastAsia="Calibri" w:hAnsi="Calibri" w:cs="Calibri"/>
                <w:b/>
                <w:bCs/>
              </w:rPr>
              <w:t xml:space="preserve">hreat </w:t>
            </w:r>
            <w:r w:rsidR="00114CFA">
              <w:rPr>
                <w:rFonts w:ascii="Calibri" w:eastAsia="Calibri" w:hAnsi="Calibri" w:cs="Calibri"/>
                <w:b/>
                <w:bCs/>
              </w:rPr>
              <w:t>A</w:t>
            </w:r>
            <w:r w:rsidRPr="00114CFA">
              <w:rPr>
                <w:rFonts w:ascii="Calibri" w:eastAsia="Calibri" w:hAnsi="Calibri" w:cs="Calibri"/>
                <w:b/>
                <w:bCs/>
              </w:rPr>
              <w:t xml:space="preserve">ctor </w:t>
            </w:r>
            <w:r w:rsidR="00114CFA">
              <w:rPr>
                <w:rFonts w:ascii="Calibri" w:eastAsia="Calibri" w:hAnsi="Calibri" w:cs="Calibri"/>
                <w:b/>
                <w:bCs/>
              </w:rPr>
              <w:t>A</w:t>
            </w:r>
            <w:r w:rsidRPr="00114CFA">
              <w:rPr>
                <w:rFonts w:ascii="Calibri" w:eastAsia="Calibri" w:hAnsi="Calibri" w:cs="Calibri"/>
                <w:b/>
                <w:bCs/>
              </w:rPr>
              <w:t xml:space="preserve">ccomplish if </w:t>
            </w:r>
            <w:r w:rsidR="00114CFA">
              <w:rPr>
                <w:rFonts w:ascii="Calibri" w:eastAsia="Calibri" w:hAnsi="Calibri" w:cs="Calibri"/>
                <w:b/>
                <w:bCs/>
              </w:rPr>
              <w:t>Y</w:t>
            </w:r>
            <w:r w:rsidRPr="00114CFA">
              <w:rPr>
                <w:rFonts w:ascii="Calibri" w:eastAsia="Calibri" w:hAnsi="Calibri" w:cs="Calibri"/>
                <w:b/>
                <w:bCs/>
              </w:rPr>
              <w:t xml:space="preserve">ou </w:t>
            </w:r>
            <w:r w:rsidR="00114CFA">
              <w:rPr>
                <w:rFonts w:ascii="Calibri" w:eastAsia="Calibri" w:hAnsi="Calibri" w:cs="Calibri"/>
                <w:b/>
                <w:bCs/>
              </w:rPr>
              <w:t>W</w:t>
            </w:r>
            <w:r w:rsidRPr="00114CFA">
              <w:rPr>
                <w:rFonts w:ascii="Calibri" w:eastAsia="Calibri" w:hAnsi="Calibri" w:cs="Calibri"/>
                <w:b/>
                <w:bCs/>
              </w:rPr>
              <w:t xml:space="preserve">ere </w:t>
            </w:r>
            <w:r w:rsidR="00114CFA">
              <w:rPr>
                <w:rFonts w:ascii="Calibri" w:eastAsia="Calibri" w:hAnsi="Calibri" w:cs="Calibri"/>
                <w:b/>
                <w:bCs/>
              </w:rPr>
              <w:t>N</w:t>
            </w:r>
            <w:r w:rsidRPr="00114CFA">
              <w:rPr>
                <w:rFonts w:ascii="Calibri" w:eastAsia="Calibri" w:hAnsi="Calibri" w:cs="Calibri"/>
                <w:b/>
                <w:bCs/>
              </w:rPr>
              <w:t xml:space="preserve">ot </w:t>
            </w:r>
            <w:r w:rsidR="00114CFA">
              <w:rPr>
                <w:rFonts w:ascii="Calibri" w:eastAsia="Calibri" w:hAnsi="Calibri" w:cs="Calibri"/>
                <w:b/>
                <w:bCs/>
              </w:rPr>
              <w:t>M</w:t>
            </w:r>
            <w:r w:rsidRPr="00114CFA">
              <w:rPr>
                <w:rFonts w:ascii="Calibri" w:eastAsia="Calibri" w:hAnsi="Calibri" w:cs="Calibri"/>
                <w:b/>
                <w:bCs/>
              </w:rPr>
              <w:t xml:space="preserve">onitoring </w:t>
            </w:r>
            <w:r w:rsidR="00114CFA">
              <w:rPr>
                <w:rFonts w:ascii="Calibri" w:eastAsia="Calibri" w:hAnsi="Calibri" w:cs="Calibri"/>
                <w:b/>
                <w:bCs/>
              </w:rPr>
              <w:t>T</w:t>
            </w:r>
            <w:r w:rsidR="004B6103" w:rsidRPr="00114CFA">
              <w:rPr>
                <w:rFonts w:ascii="Calibri" w:eastAsia="Calibri" w:hAnsi="Calibri" w:cs="Calibri"/>
                <w:b/>
                <w:bCs/>
              </w:rPr>
              <w:t xml:space="preserve">his </w:t>
            </w:r>
            <w:r w:rsidR="00114CFA">
              <w:rPr>
                <w:rFonts w:ascii="Calibri" w:eastAsia="Calibri" w:hAnsi="Calibri" w:cs="Calibri"/>
                <w:b/>
                <w:bCs/>
              </w:rPr>
              <w:t>C</w:t>
            </w:r>
            <w:r w:rsidR="004B6103" w:rsidRPr="00114CFA">
              <w:rPr>
                <w:rFonts w:ascii="Calibri" w:eastAsia="Calibri" w:hAnsi="Calibri" w:cs="Calibri"/>
                <w:b/>
                <w:bCs/>
              </w:rPr>
              <w:t>omponent</w:t>
            </w:r>
            <w:r w:rsidRPr="00114CFA">
              <w:rPr>
                <w:rFonts w:ascii="Calibri" w:eastAsia="Calibri" w:hAnsi="Calibri" w:cs="Calibri"/>
                <w:b/>
                <w:bCs/>
              </w:rPr>
              <w:t>?</w:t>
            </w:r>
          </w:p>
        </w:tc>
        <w:tc>
          <w:tcPr>
            <w:tcW w:w="1250" w:type="pct"/>
          </w:tcPr>
          <w:p w14:paraId="1C758A8B" w14:textId="093420E8"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Tenet of </w:t>
            </w:r>
            <w:r w:rsidR="00087118" w:rsidRPr="00114CFA">
              <w:rPr>
                <w:rFonts w:ascii="Calibri" w:eastAsia="Calibri" w:hAnsi="Calibri" w:cs="Calibri"/>
                <w:b/>
                <w:bCs/>
              </w:rPr>
              <w:t xml:space="preserve">the </w:t>
            </w:r>
            <w:r w:rsidR="00114CFA">
              <w:rPr>
                <w:rFonts w:ascii="Calibri" w:eastAsia="Calibri" w:hAnsi="Calibri" w:cs="Calibri"/>
                <w:b/>
                <w:bCs/>
              </w:rPr>
              <w:t>S</w:t>
            </w:r>
            <w:r w:rsidRPr="00114CFA">
              <w:rPr>
                <w:rFonts w:ascii="Calibri" w:eastAsia="Calibri" w:hAnsi="Calibri" w:cs="Calibri"/>
                <w:b/>
                <w:bCs/>
              </w:rPr>
              <w:t xml:space="preserve">ecurity </w:t>
            </w:r>
            <w:r w:rsidR="00087118" w:rsidRPr="00114CFA">
              <w:rPr>
                <w:rFonts w:ascii="Calibri" w:eastAsia="Calibri" w:hAnsi="Calibri" w:cs="Calibri"/>
                <w:b/>
                <w:bCs/>
              </w:rPr>
              <w:t xml:space="preserve">(CIA) </w:t>
            </w:r>
            <w:r w:rsidR="00114CFA">
              <w:rPr>
                <w:rFonts w:ascii="Calibri" w:eastAsia="Calibri" w:hAnsi="Calibri" w:cs="Calibri"/>
                <w:b/>
                <w:bCs/>
              </w:rPr>
              <w:t>T</w:t>
            </w:r>
            <w:r w:rsidRPr="00114CFA">
              <w:rPr>
                <w:rFonts w:ascii="Calibri" w:eastAsia="Calibri" w:hAnsi="Calibri" w:cs="Calibri"/>
                <w:b/>
                <w:bCs/>
              </w:rPr>
              <w:t xml:space="preserve">riad </w:t>
            </w:r>
            <w:r w:rsidR="00114CFA">
              <w:rPr>
                <w:rFonts w:ascii="Calibri" w:eastAsia="Calibri" w:hAnsi="Calibri" w:cs="Calibri"/>
                <w:b/>
                <w:bCs/>
              </w:rPr>
              <w:t>M</w:t>
            </w:r>
            <w:r w:rsidR="00087118" w:rsidRPr="00114CFA">
              <w:rPr>
                <w:rFonts w:ascii="Calibri" w:eastAsia="Calibri" w:hAnsi="Calibri" w:cs="Calibri"/>
                <w:b/>
                <w:bCs/>
              </w:rPr>
              <w:t xml:space="preserve">ost </w:t>
            </w:r>
            <w:r w:rsidR="00114CFA">
              <w:rPr>
                <w:rFonts w:ascii="Calibri" w:eastAsia="Calibri" w:hAnsi="Calibri" w:cs="Calibri"/>
                <w:b/>
                <w:bCs/>
              </w:rPr>
              <w:t>A</w:t>
            </w:r>
            <w:r w:rsidR="00087118" w:rsidRPr="00114CFA">
              <w:rPr>
                <w:rFonts w:ascii="Calibri" w:eastAsia="Calibri" w:hAnsi="Calibri" w:cs="Calibri"/>
                <w:b/>
                <w:bCs/>
              </w:rPr>
              <w:t>ffected</w:t>
            </w:r>
          </w:p>
        </w:tc>
      </w:tr>
      <w:tr w:rsidR="00DF26AF" w:rsidRPr="00A11EFD" w14:paraId="5CE6DFE8" w14:textId="77777777" w:rsidTr="00114CFA">
        <w:trPr>
          <w:cantSplit/>
          <w:tblHeader/>
        </w:trPr>
        <w:tc>
          <w:tcPr>
            <w:tcW w:w="1250" w:type="pct"/>
          </w:tcPr>
          <w:p w14:paraId="09BD1748" w14:textId="6F9B95D2" w:rsidR="00DF26AF" w:rsidRPr="00A11EFD" w:rsidRDefault="002E42EE" w:rsidP="00114CFA">
            <w:pPr>
              <w:suppressAutoHyphens/>
              <w:contextualSpacing/>
              <w:rPr>
                <w:rFonts w:ascii="Calibri" w:eastAsia="Calibri" w:hAnsi="Calibri" w:cs="Calibri"/>
              </w:rPr>
            </w:pPr>
            <w:r>
              <w:rPr>
                <w:rFonts w:ascii="Calibri" w:eastAsia="Calibri" w:hAnsi="Calibri" w:cs="Calibri"/>
              </w:rPr>
              <w:t>Sensors</w:t>
            </w:r>
          </w:p>
        </w:tc>
        <w:tc>
          <w:tcPr>
            <w:tcW w:w="1250" w:type="pct"/>
          </w:tcPr>
          <w:p w14:paraId="3632E1ED" w14:textId="0E4F1481"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Collect raw data from network traffic, logs, or host activity</w:t>
            </w:r>
          </w:p>
        </w:tc>
        <w:tc>
          <w:tcPr>
            <w:tcW w:w="1250" w:type="pct"/>
          </w:tcPr>
          <w:p w14:paraId="5912007C" w14:textId="068A016C"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Threat actors could infiltrate systems undetected, bypassing initial visibility</w:t>
            </w:r>
          </w:p>
        </w:tc>
        <w:tc>
          <w:tcPr>
            <w:tcW w:w="1250" w:type="pct"/>
          </w:tcPr>
          <w:p w14:paraId="22A98883" w14:textId="4BF29BEF"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Confidentiality</w:t>
            </w:r>
          </w:p>
        </w:tc>
      </w:tr>
      <w:tr w:rsidR="00DF26AF" w:rsidRPr="00A11EFD" w14:paraId="261F013D" w14:textId="77777777" w:rsidTr="00114CFA">
        <w:trPr>
          <w:cantSplit/>
          <w:tblHeader/>
        </w:trPr>
        <w:tc>
          <w:tcPr>
            <w:tcW w:w="1250" w:type="pct"/>
          </w:tcPr>
          <w:p w14:paraId="2028AAB7" w14:textId="716DE590" w:rsidR="00DF26AF" w:rsidRPr="00A11EFD" w:rsidRDefault="002E42EE" w:rsidP="00114CFA">
            <w:pPr>
              <w:suppressAutoHyphens/>
              <w:contextualSpacing/>
              <w:rPr>
                <w:rFonts w:ascii="Calibri" w:eastAsia="Calibri" w:hAnsi="Calibri" w:cs="Calibri"/>
              </w:rPr>
            </w:pPr>
            <w:r>
              <w:rPr>
                <w:rFonts w:ascii="Calibri" w:eastAsia="Calibri" w:hAnsi="Calibri" w:cs="Calibri"/>
              </w:rPr>
              <w:t>Detection Engine</w:t>
            </w:r>
          </w:p>
        </w:tc>
        <w:tc>
          <w:tcPr>
            <w:tcW w:w="1250" w:type="pct"/>
          </w:tcPr>
          <w:p w14:paraId="5329E361" w14:textId="591B7799"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Analyzes data using signature-based, anomaly-based, or heuristic methods</w:t>
            </w:r>
          </w:p>
        </w:tc>
        <w:tc>
          <w:tcPr>
            <w:tcW w:w="1250" w:type="pct"/>
          </w:tcPr>
          <w:p w14:paraId="0904E339" w14:textId="417E8AB7"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Attackers could exploit known vulnerabilities or zero-days without triggering alerts</w:t>
            </w:r>
          </w:p>
        </w:tc>
        <w:tc>
          <w:tcPr>
            <w:tcW w:w="1250" w:type="pct"/>
          </w:tcPr>
          <w:p w14:paraId="1B8DB32A" w14:textId="0185F768"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Integrity</w:t>
            </w:r>
          </w:p>
        </w:tc>
      </w:tr>
      <w:tr w:rsidR="00DF26AF" w:rsidRPr="00A11EFD" w14:paraId="1A1AA5AB" w14:textId="77777777" w:rsidTr="00114CFA">
        <w:trPr>
          <w:cantSplit/>
          <w:tblHeader/>
        </w:trPr>
        <w:tc>
          <w:tcPr>
            <w:tcW w:w="1250" w:type="pct"/>
          </w:tcPr>
          <w:p w14:paraId="0E7F56BB" w14:textId="53524B23" w:rsidR="00DF26AF" w:rsidRPr="00A11EFD" w:rsidRDefault="002E42EE" w:rsidP="00114CFA">
            <w:pPr>
              <w:suppressAutoHyphens/>
              <w:contextualSpacing/>
              <w:rPr>
                <w:rFonts w:ascii="Calibri" w:eastAsia="Calibri" w:hAnsi="Calibri" w:cs="Calibri"/>
              </w:rPr>
            </w:pPr>
            <w:r>
              <w:rPr>
                <w:rFonts w:ascii="Calibri" w:eastAsia="Calibri" w:hAnsi="Calibri" w:cs="Calibri"/>
              </w:rPr>
              <w:t>Response System</w:t>
            </w:r>
          </w:p>
        </w:tc>
        <w:tc>
          <w:tcPr>
            <w:tcW w:w="1250" w:type="pct"/>
          </w:tcPr>
          <w:p w14:paraId="462F080B" w14:textId="55F6E01C"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Triggers alerts, logs events, or initiates automated actions (e.g., blocking IPs)</w:t>
            </w:r>
          </w:p>
        </w:tc>
        <w:tc>
          <w:tcPr>
            <w:tcW w:w="1250" w:type="pct"/>
          </w:tcPr>
          <w:p w14:paraId="15546C1C" w14:textId="3C5E8A38"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Malicious activity could persist without containment, leading to prolonged compromise</w:t>
            </w:r>
          </w:p>
        </w:tc>
        <w:tc>
          <w:tcPr>
            <w:tcW w:w="1250" w:type="pct"/>
          </w:tcPr>
          <w:p w14:paraId="62C4270A" w14:textId="101F8256"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Availability</w:t>
            </w:r>
          </w:p>
        </w:tc>
      </w:tr>
      <w:tr w:rsidR="00DF26AF" w:rsidRPr="00A11EFD" w14:paraId="0D681C74" w14:textId="77777777" w:rsidTr="00114CFA">
        <w:trPr>
          <w:cantSplit/>
          <w:tblHeader/>
        </w:trPr>
        <w:tc>
          <w:tcPr>
            <w:tcW w:w="1250" w:type="pct"/>
          </w:tcPr>
          <w:p w14:paraId="0B524E57" w14:textId="768683A9" w:rsidR="00DF26AF" w:rsidRPr="00A11EFD" w:rsidRDefault="002E42EE" w:rsidP="00114CFA">
            <w:pPr>
              <w:suppressAutoHyphens/>
              <w:contextualSpacing/>
              <w:rPr>
                <w:rFonts w:ascii="Calibri" w:eastAsia="Calibri" w:hAnsi="Calibri" w:cs="Calibri"/>
              </w:rPr>
            </w:pPr>
            <w:r>
              <w:rPr>
                <w:rFonts w:ascii="Calibri" w:eastAsia="Calibri" w:hAnsi="Calibri" w:cs="Calibri"/>
              </w:rPr>
              <w:t>Management Console</w:t>
            </w:r>
          </w:p>
        </w:tc>
        <w:tc>
          <w:tcPr>
            <w:tcW w:w="1250" w:type="pct"/>
          </w:tcPr>
          <w:p w14:paraId="6F942270" w14:textId="4BD748DD"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Interface for configuring IDS, reviewing alerts, and managing policies</w:t>
            </w:r>
          </w:p>
        </w:tc>
        <w:tc>
          <w:tcPr>
            <w:tcW w:w="1250" w:type="pct"/>
          </w:tcPr>
          <w:p w14:paraId="20FA23CB" w14:textId="3B5EB0AB"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Attackers could alter IDS settings, disable alerts, or hide their tracks</w:t>
            </w:r>
          </w:p>
        </w:tc>
        <w:tc>
          <w:tcPr>
            <w:tcW w:w="1250" w:type="pct"/>
          </w:tcPr>
          <w:p w14:paraId="373BD506" w14:textId="06CBFBA7"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Confidentiality</w:t>
            </w:r>
          </w:p>
        </w:tc>
      </w:tr>
      <w:tr w:rsidR="00DF26AF" w:rsidRPr="00A11EFD" w14:paraId="350A4157" w14:textId="77777777" w:rsidTr="00114CFA">
        <w:trPr>
          <w:cantSplit/>
          <w:tblHeader/>
        </w:trPr>
        <w:tc>
          <w:tcPr>
            <w:tcW w:w="1250" w:type="pct"/>
          </w:tcPr>
          <w:p w14:paraId="6E183660" w14:textId="1906C0CA" w:rsidR="00DF26AF" w:rsidRPr="00A11EFD" w:rsidRDefault="002E42EE" w:rsidP="00114CFA">
            <w:pPr>
              <w:suppressAutoHyphens/>
              <w:contextualSpacing/>
              <w:rPr>
                <w:rFonts w:ascii="Calibri" w:eastAsia="Calibri" w:hAnsi="Calibri" w:cs="Calibri"/>
              </w:rPr>
            </w:pPr>
            <w:r>
              <w:rPr>
                <w:rFonts w:ascii="Calibri" w:eastAsia="Calibri" w:hAnsi="Calibri" w:cs="Calibri"/>
              </w:rPr>
              <w:t>Database &amp; Storage</w:t>
            </w:r>
          </w:p>
        </w:tc>
        <w:tc>
          <w:tcPr>
            <w:tcW w:w="1250" w:type="pct"/>
          </w:tcPr>
          <w:p w14:paraId="31EAEF78" w14:textId="5C8E1B68"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Stores logs, signatures, and historical data for analysis and correlation</w:t>
            </w:r>
          </w:p>
        </w:tc>
        <w:tc>
          <w:tcPr>
            <w:tcW w:w="1250" w:type="pct"/>
          </w:tcPr>
          <w:p w14:paraId="1CF1AC55" w14:textId="7876743F"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Adversaries could tamper with logs, erase evidence, or poison detection models</w:t>
            </w:r>
          </w:p>
        </w:tc>
        <w:tc>
          <w:tcPr>
            <w:tcW w:w="1250" w:type="pct"/>
          </w:tcPr>
          <w:p w14:paraId="7E6CF545" w14:textId="6292133D" w:rsidR="00DF26AF" w:rsidRPr="00A11EFD" w:rsidRDefault="002E42EE" w:rsidP="00114CFA">
            <w:pPr>
              <w:suppressAutoHyphens/>
              <w:contextualSpacing/>
              <w:rPr>
                <w:rFonts w:ascii="Calibri" w:eastAsia="Calibri" w:hAnsi="Calibri" w:cs="Calibri"/>
              </w:rPr>
            </w:pPr>
            <w:r w:rsidRPr="002E42EE">
              <w:rPr>
                <w:rFonts w:ascii="Calibri" w:eastAsia="Calibri" w:hAnsi="Calibri" w:cs="Calibri"/>
              </w:rPr>
              <w:t>Integrity</w:t>
            </w:r>
          </w:p>
        </w:tc>
      </w:tr>
    </w:tbl>
    <w:p w14:paraId="65798863" w14:textId="77777777" w:rsidR="00DF26AF" w:rsidRPr="00A11EFD" w:rsidRDefault="00CD5F0F" w:rsidP="00114CFA">
      <w:pPr>
        <w:suppressAutoHyphens/>
        <w:spacing w:line="240" w:lineRule="auto"/>
        <w:contextualSpacing/>
        <w:rPr>
          <w:rFonts w:ascii="Calibri" w:eastAsia="Calibri" w:hAnsi="Calibri" w:cs="Calibri"/>
        </w:rPr>
      </w:pPr>
      <w:bookmarkStart w:id="1" w:name="_d16kueocpk52" w:colFirst="0" w:colLast="0"/>
      <w:bookmarkEnd w:id="1"/>
      <w:r w:rsidRPr="00A11EFD">
        <w:rPr>
          <w:rFonts w:ascii="Calibri" w:eastAsia="Calibri" w:hAnsi="Calibri" w:cs="Calibri"/>
        </w:rPr>
        <w:t xml:space="preserve"> </w:t>
      </w:r>
    </w:p>
    <w:p w14:paraId="02721962" w14:textId="77777777" w:rsidR="00DF26AF" w:rsidRPr="00A11EFD" w:rsidRDefault="00CD5F0F" w:rsidP="00114CFA">
      <w:pPr>
        <w:pStyle w:val="List"/>
        <w:suppressAutoHyphens/>
        <w:contextualSpacing/>
      </w:pPr>
      <w:r w:rsidRPr="00A11EFD">
        <w:t>Application Question</w:t>
      </w:r>
    </w:p>
    <w:p w14:paraId="26AF12A8" w14:textId="217EC2B3" w:rsidR="002E42EE" w:rsidRPr="002E42EE" w:rsidRDefault="002E42EE" w:rsidP="002E42EE">
      <w:pPr>
        <w:pStyle w:val="List"/>
        <w:numPr>
          <w:ilvl w:val="1"/>
          <w:numId w:val="2"/>
        </w:numPr>
        <w:rPr>
          <w:b w:val="0"/>
          <w:bCs/>
        </w:rPr>
      </w:pPr>
      <w:r>
        <w:rPr>
          <w:b w:val="0"/>
          <w:bCs/>
        </w:rPr>
        <w:t xml:space="preserve">     </w:t>
      </w:r>
      <w:r w:rsidRPr="002E42EE">
        <w:rPr>
          <w:b w:val="0"/>
          <w:bCs/>
        </w:rPr>
        <w:t xml:space="preserve">For a small finance-sector startup with one office location, I recommend implementing network-based sensors and a hybrid detection engine as part of their IDS setup. Network-based sensors are essential because they monitor traffic at critical points in the network, such as between the internal systems and the internet. This allows the business to detect suspicious activity like unauthorized access attempts, phishing payloads, or data exfiltration. Given the sensitivity of financial data, having visibility into network traffic is crucial for early threat detection. The second component, a detection engine that combines both signature-based and anomaly-based methods, offers a balanced approach to identifying threats. Signature-based detection quickly flags known attacks, while anomaly-based detection helps uncover unusual behavior that could indicate zero-day exploits or insider threats. This hybrid approach is especially valuable for small teams without dedicated security analysts, as it automates much of the threat </w:t>
      </w:r>
      <w:r w:rsidRPr="002E42EE">
        <w:rPr>
          <w:b w:val="0"/>
          <w:bCs/>
        </w:rPr>
        <w:lastRenderedPageBreak/>
        <w:t>identification process. Together, these components provide a cost-effective, scalable foundation for network protection, helping the startup safeguard client data and meet regulatory requirements without overwhelming their resources.</w:t>
      </w:r>
    </w:p>
    <w:p w14:paraId="6E4468CA" w14:textId="09A1D9B2" w:rsidR="00DF26AF" w:rsidRPr="00A11EFD" w:rsidRDefault="00DF26AF" w:rsidP="002E42EE">
      <w:pPr>
        <w:pStyle w:val="List2"/>
        <w:numPr>
          <w:ilvl w:val="0"/>
          <w:numId w:val="0"/>
        </w:numPr>
        <w:suppressAutoHyphens/>
        <w:ind w:left="1800"/>
        <w:contextualSpacing/>
      </w:pPr>
    </w:p>
    <w:p w14:paraId="51750352" w14:textId="77777777" w:rsidR="00DF26AF" w:rsidRPr="00A11EFD" w:rsidRDefault="00DF26AF" w:rsidP="00114CFA">
      <w:pPr>
        <w:suppressAutoHyphens/>
        <w:spacing w:line="240" w:lineRule="auto"/>
        <w:contextualSpacing/>
      </w:pPr>
    </w:p>
    <w:sectPr w:rsidR="00DF26AF" w:rsidRPr="00A11EFD" w:rsidSect="0081111B">
      <w:headerReference w:type="default" r:id="rId10"/>
      <w:footerReference w:type="default" r:id="rId11"/>
      <w:pgSz w:w="12240" w:h="15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93593" w14:textId="77777777" w:rsidR="00DC4A35" w:rsidRDefault="00DC4A35">
      <w:pPr>
        <w:spacing w:line="240" w:lineRule="auto"/>
      </w:pPr>
      <w:r>
        <w:separator/>
      </w:r>
    </w:p>
    <w:p w14:paraId="62D911D5" w14:textId="77777777" w:rsidR="00DC4A35" w:rsidRDefault="00DC4A35"/>
  </w:endnote>
  <w:endnote w:type="continuationSeparator" w:id="0">
    <w:p w14:paraId="2C9D9F80" w14:textId="77777777" w:rsidR="00DC4A35" w:rsidRDefault="00DC4A35">
      <w:pPr>
        <w:spacing w:line="240" w:lineRule="auto"/>
      </w:pPr>
      <w:r>
        <w:continuationSeparator/>
      </w:r>
    </w:p>
    <w:p w14:paraId="35FCBA68" w14:textId="77777777" w:rsidR="00DC4A35" w:rsidRDefault="00DC4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8208285"/>
      <w:docPartObj>
        <w:docPartGallery w:val="Page Numbers (Bottom of Page)"/>
        <w:docPartUnique/>
      </w:docPartObj>
    </w:sdtPr>
    <w:sdtEndPr>
      <w:rPr>
        <w:rFonts w:ascii="Calibri" w:hAnsi="Calibri" w:cs="Calibri"/>
        <w:noProof/>
      </w:rPr>
    </w:sdtEndPr>
    <w:sdtContent>
      <w:p w14:paraId="0F4E2957" w14:textId="47C7A973" w:rsidR="00234504" w:rsidRPr="009A5CCB" w:rsidRDefault="007C59BA" w:rsidP="009A5CCB">
        <w:pPr>
          <w:pStyle w:val="Footer"/>
          <w:jc w:val="center"/>
          <w:rPr>
            <w:rFonts w:ascii="Calibri" w:hAnsi="Calibri" w:cs="Calibri"/>
          </w:rPr>
        </w:pPr>
        <w:r w:rsidRPr="007C59BA">
          <w:rPr>
            <w:rFonts w:ascii="Calibri" w:hAnsi="Calibri" w:cs="Calibri"/>
          </w:rPr>
          <w:fldChar w:fldCharType="begin"/>
        </w:r>
        <w:r w:rsidRPr="007C59BA">
          <w:rPr>
            <w:rFonts w:ascii="Calibri" w:hAnsi="Calibri" w:cs="Calibri"/>
          </w:rPr>
          <w:instrText xml:space="preserve"> PAGE   \* MERGEFORMAT </w:instrText>
        </w:r>
        <w:r w:rsidRPr="007C59BA">
          <w:rPr>
            <w:rFonts w:ascii="Calibri" w:hAnsi="Calibri" w:cs="Calibri"/>
          </w:rPr>
          <w:fldChar w:fldCharType="separate"/>
        </w:r>
        <w:r w:rsidR="0074596D">
          <w:rPr>
            <w:rFonts w:ascii="Calibri" w:hAnsi="Calibri" w:cs="Calibri"/>
            <w:noProof/>
          </w:rPr>
          <w:t>1</w:t>
        </w:r>
        <w:r w:rsidRPr="007C59BA">
          <w:rPr>
            <w:rFonts w:ascii="Calibri" w:hAnsi="Calibri" w:cs="Calibr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157E6" w14:textId="77777777" w:rsidR="00DC4A35" w:rsidRDefault="00DC4A35">
      <w:pPr>
        <w:spacing w:line="240" w:lineRule="auto"/>
      </w:pPr>
      <w:r>
        <w:separator/>
      </w:r>
    </w:p>
    <w:p w14:paraId="5955D384" w14:textId="77777777" w:rsidR="00DC4A35" w:rsidRDefault="00DC4A35"/>
  </w:footnote>
  <w:footnote w:type="continuationSeparator" w:id="0">
    <w:p w14:paraId="3EDB657A" w14:textId="77777777" w:rsidR="00DC4A35" w:rsidRDefault="00DC4A35">
      <w:pPr>
        <w:spacing w:line="240" w:lineRule="auto"/>
      </w:pPr>
      <w:r>
        <w:continuationSeparator/>
      </w:r>
    </w:p>
    <w:p w14:paraId="01D0BE42" w14:textId="77777777" w:rsidR="00DC4A35" w:rsidRDefault="00DC4A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E08A2" w14:textId="6261887B" w:rsidR="00234504" w:rsidRDefault="00DB43D1" w:rsidP="00DB43D1">
    <w:pPr>
      <w:pStyle w:val="Header"/>
      <w:spacing w:after="200"/>
      <w:jc w:val="center"/>
    </w:pPr>
    <w:r w:rsidRPr="00085B81">
      <w:rPr>
        <w:noProof/>
      </w:rPr>
      <w:drawing>
        <wp:inline distT="0" distB="0" distL="0" distR="0" wp14:anchorId="492BC271" wp14:editId="2ECF4211">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A245F0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A56248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C42551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839C8F64"/>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3B2FE8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CAE3F30"/>
    <w:multiLevelType w:val="multilevel"/>
    <w:tmpl w:val="ED580796"/>
    <w:lvl w:ilvl="0">
      <w:start w:val="2"/>
      <w:numFmt w:val="upperRoman"/>
      <w:lvlText w:val="%1."/>
      <w:lvlJc w:val="left"/>
      <w:pPr>
        <w:ind w:left="1080" w:hanging="360"/>
      </w:pPr>
      <w:rPr>
        <w:rFonts w:ascii="Calibri" w:eastAsia="Calibri" w:hAnsi="Calibri" w:cs="Calibri"/>
        <w:sz w:val="24"/>
        <w:szCs w:val="24"/>
      </w:rPr>
    </w:lvl>
    <w:lvl w:ilvl="1">
      <w:start w:val="1"/>
      <w:numFmt w:val="upperLetter"/>
      <w:pStyle w:val="List2"/>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5E6C1E96"/>
    <w:multiLevelType w:val="multilevel"/>
    <w:tmpl w:val="451C8F04"/>
    <w:lvl w:ilvl="0">
      <w:start w:val="1"/>
      <w:numFmt w:val="upperRoman"/>
      <w:pStyle w:val="List"/>
      <w:lvlText w:val="%1."/>
      <w:lvlJc w:val="left"/>
      <w:pPr>
        <w:ind w:left="1080" w:hanging="360"/>
      </w:pPr>
      <w:rPr>
        <w:rFonts w:ascii="Calibri" w:eastAsia="Calibri" w:hAnsi="Calibri" w:cs="Calibri"/>
        <w:sz w:val="24"/>
        <w:szCs w:val="24"/>
      </w:rPr>
    </w:lvl>
    <w:lvl w:ilvl="1">
      <w:start w:val="1"/>
      <w:numFmt w:val="upp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1409881285">
    <w:abstractNumId w:val="5"/>
  </w:num>
  <w:num w:numId="2" w16cid:durableId="675689295">
    <w:abstractNumId w:val="6"/>
  </w:num>
  <w:num w:numId="3" w16cid:durableId="58945194">
    <w:abstractNumId w:val="4"/>
  </w:num>
  <w:num w:numId="4" w16cid:durableId="1228303793">
    <w:abstractNumId w:val="3"/>
  </w:num>
  <w:num w:numId="5" w16cid:durableId="206533901">
    <w:abstractNumId w:val="2"/>
  </w:num>
  <w:num w:numId="6" w16cid:durableId="289630422">
    <w:abstractNumId w:val="1"/>
  </w:num>
  <w:num w:numId="7" w16cid:durableId="86247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1sTC2MDE0NzUxNTNR0lEKTi0uzszPAykwqgUAUQWhKywAAAA="/>
  </w:docVars>
  <w:rsids>
    <w:rsidRoot w:val="00DF26AF"/>
    <w:rsid w:val="00087118"/>
    <w:rsid w:val="00114CFA"/>
    <w:rsid w:val="0018403C"/>
    <w:rsid w:val="001E441B"/>
    <w:rsid w:val="001F6E96"/>
    <w:rsid w:val="00222236"/>
    <w:rsid w:val="00234504"/>
    <w:rsid w:val="002E42EE"/>
    <w:rsid w:val="003A223D"/>
    <w:rsid w:val="0042452E"/>
    <w:rsid w:val="004B6103"/>
    <w:rsid w:val="0056432E"/>
    <w:rsid w:val="0065405E"/>
    <w:rsid w:val="0074596D"/>
    <w:rsid w:val="007C59BA"/>
    <w:rsid w:val="007D3600"/>
    <w:rsid w:val="0081111B"/>
    <w:rsid w:val="00865FB2"/>
    <w:rsid w:val="008C5295"/>
    <w:rsid w:val="008F6733"/>
    <w:rsid w:val="009A5CCB"/>
    <w:rsid w:val="009E16D9"/>
    <w:rsid w:val="00A11EFD"/>
    <w:rsid w:val="00B81142"/>
    <w:rsid w:val="00BA0C0F"/>
    <w:rsid w:val="00C67AFD"/>
    <w:rsid w:val="00CD5F0F"/>
    <w:rsid w:val="00D109B2"/>
    <w:rsid w:val="00DB43D1"/>
    <w:rsid w:val="00DC4A35"/>
    <w:rsid w:val="00DF26AF"/>
    <w:rsid w:val="00E14D78"/>
    <w:rsid w:val="00E75EB0"/>
    <w:rsid w:val="00EA2ED3"/>
    <w:rsid w:val="00FE717B"/>
    <w:rsid w:val="177AEFEE"/>
    <w:rsid w:val="23B15326"/>
    <w:rsid w:val="2495A0AF"/>
    <w:rsid w:val="2736314F"/>
    <w:rsid w:val="2844EFF8"/>
    <w:rsid w:val="53C2B7CB"/>
    <w:rsid w:val="5F48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64E38"/>
  <w15:docId w15:val="{35539ABD-6E33-4704-A8D9-C7F5EB99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6D"/>
  </w:style>
  <w:style w:type="paragraph" w:styleId="Heading1">
    <w:name w:val="heading 1"/>
    <w:basedOn w:val="Normal"/>
    <w:next w:val="Normal"/>
    <w:uiPriority w:val="9"/>
    <w:qFormat/>
    <w:rsid w:val="00114CFA"/>
    <w:pPr>
      <w:suppressAutoHyphens/>
      <w:spacing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C59BA"/>
    <w:pPr>
      <w:tabs>
        <w:tab w:val="center" w:pos="4680"/>
        <w:tab w:val="right" w:pos="9360"/>
      </w:tabs>
      <w:spacing w:line="240" w:lineRule="auto"/>
    </w:pPr>
  </w:style>
  <w:style w:type="character" w:customStyle="1" w:styleId="HeaderChar">
    <w:name w:val="Header Char"/>
    <w:basedOn w:val="DefaultParagraphFont"/>
    <w:link w:val="Header"/>
    <w:uiPriority w:val="99"/>
    <w:rsid w:val="007C59BA"/>
  </w:style>
  <w:style w:type="paragraph" w:styleId="Footer">
    <w:name w:val="footer"/>
    <w:basedOn w:val="Normal"/>
    <w:link w:val="FooterChar"/>
    <w:uiPriority w:val="99"/>
    <w:unhideWhenUsed/>
    <w:rsid w:val="007C59BA"/>
    <w:pPr>
      <w:tabs>
        <w:tab w:val="center" w:pos="4680"/>
        <w:tab w:val="right" w:pos="9360"/>
      </w:tabs>
      <w:spacing w:line="240" w:lineRule="auto"/>
    </w:pPr>
  </w:style>
  <w:style w:type="character" w:customStyle="1" w:styleId="FooterChar">
    <w:name w:val="Footer Char"/>
    <w:basedOn w:val="DefaultParagraphFont"/>
    <w:link w:val="Footer"/>
    <w:uiPriority w:val="99"/>
    <w:rsid w:val="007C59BA"/>
  </w:style>
  <w:style w:type="paragraph" w:styleId="BalloonText">
    <w:name w:val="Balloon Text"/>
    <w:basedOn w:val="Normal"/>
    <w:link w:val="BalloonTextChar"/>
    <w:uiPriority w:val="99"/>
    <w:semiHidden/>
    <w:unhideWhenUsed/>
    <w:rsid w:val="007C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9BA"/>
    <w:rPr>
      <w:rFonts w:ascii="Segoe UI" w:hAnsi="Segoe UI" w:cs="Segoe UI"/>
      <w:sz w:val="18"/>
      <w:szCs w:val="18"/>
    </w:rPr>
  </w:style>
  <w:style w:type="table" w:styleId="TableGrid">
    <w:name w:val="Table Grid"/>
    <w:basedOn w:val="TableNormal"/>
    <w:uiPriority w:val="39"/>
    <w:rsid w:val="007459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74596D"/>
    <w:pPr>
      <w:numPr>
        <w:numId w:val="2"/>
      </w:numPr>
      <w:spacing w:line="240" w:lineRule="auto"/>
    </w:pPr>
    <w:rPr>
      <w:rFonts w:ascii="Calibri" w:eastAsia="Calibri" w:hAnsi="Calibri" w:cs="Calibri"/>
      <w:b/>
    </w:rPr>
  </w:style>
  <w:style w:type="paragraph" w:styleId="List2">
    <w:name w:val="List 2"/>
    <w:basedOn w:val="Normal"/>
    <w:uiPriority w:val="99"/>
    <w:unhideWhenUsed/>
    <w:rsid w:val="0074596D"/>
    <w:pPr>
      <w:numPr>
        <w:ilvl w:val="1"/>
        <w:numId w:val="1"/>
      </w:numPr>
      <w:spacing w:line="240" w:lineRule="auto"/>
    </w:pPr>
    <w:rPr>
      <w:rFonts w:ascii="Calibri" w:eastAsia="Calibri" w:hAnsi="Calibri" w:cs="Calibri"/>
    </w:rPr>
  </w:style>
  <w:style w:type="paragraph" w:styleId="NormalWeb">
    <w:name w:val="Normal (Web)"/>
    <w:basedOn w:val="Normal"/>
    <w:uiPriority w:val="99"/>
    <w:semiHidden/>
    <w:unhideWhenUsed/>
    <w:rsid w:val="002E42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5690">
      <w:bodyDiv w:val="1"/>
      <w:marLeft w:val="0"/>
      <w:marRight w:val="0"/>
      <w:marTop w:val="0"/>
      <w:marBottom w:val="0"/>
      <w:divBdr>
        <w:top w:val="none" w:sz="0" w:space="0" w:color="auto"/>
        <w:left w:val="none" w:sz="0" w:space="0" w:color="auto"/>
        <w:bottom w:val="none" w:sz="0" w:space="0" w:color="auto"/>
        <w:right w:val="none" w:sz="0" w:space="0" w:color="auto"/>
      </w:divBdr>
      <w:divsChild>
        <w:div w:id="74211225">
          <w:marLeft w:val="0"/>
          <w:marRight w:val="0"/>
          <w:marTop w:val="0"/>
          <w:marBottom w:val="0"/>
          <w:divBdr>
            <w:top w:val="none" w:sz="0" w:space="0" w:color="auto"/>
            <w:left w:val="none" w:sz="0" w:space="0" w:color="auto"/>
            <w:bottom w:val="none" w:sz="0" w:space="0" w:color="auto"/>
            <w:right w:val="none" w:sz="0" w:space="0" w:color="auto"/>
          </w:divBdr>
          <w:divsChild>
            <w:div w:id="6798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E57B11-F07E-466F-A81B-84B3D6BA846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4A0E8994-1872-4D81-899F-A7001A161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1787C-EC8F-4823-8EA6-5CEC16D77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CYB 310 Project Two Stepping Stone Template</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310 Project Two Stepping Stone Template</dc:title>
  <dc:creator>Rebecca Olson</dc:creator>
  <cp:lastModifiedBy>John Dengel</cp:lastModifiedBy>
  <cp:revision>2</cp:revision>
  <dcterms:created xsi:type="dcterms:W3CDTF">2025-07-24T19:28:00Z</dcterms:created>
  <dcterms:modified xsi:type="dcterms:W3CDTF">2025-07-24T19:28:00Z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9672200</vt:r8>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