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Engineering High-Throughput Transformer Inference</w:t>
      </w:r>
    </w:p>
    <w:p>
      <w:pPr>
        <w:pStyle w:val="Author"/>
      </w:pPr>
      <w:r>
        <w:t xml:space="preserve">João Felipe de Souza</w:t>
      </w:r>
    </w:p>
    <w:p>
      <w:pPr>
        <w:pStyle w:val="Date"/>
      </w:pPr>
      <w:r>
        <w:t xml:space="preserve">June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document presents the design, optimization, and performance characterization of a custom Transformer inference runtime built in C++ and CUDA. The system evolved from a CPU-bound baseline (~600 tokens/sec) into a GPU-saturated serving engine reaching ~30,000 tokens/sec on an RTX 2070 using FP16 Tensor Cores. Beyond peak performance, the runtime models realistic serving behavior under stochastic load and analyzes tail latency under saturation.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Transformer inference performance depends heavily on hardware utilization. While many implementations focus on kernel-level micro-optimizations, real throughput improvements often require architectural changes such as batching and scheduling.</w:t>
      </w:r>
    </w:p>
    <w:p>
      <w:pPr>
        <w:pStyle w:val="BodyText"/>
      </w:pPr>
      <w:r>
        <w:t xml:space="preserve">This work explores the full performance envelope of a 110M-parameter Transformer model on consumer-grade hardware.</w:t>
      </w:r>
    </w:p>
    <w:p>
      <w:r>
        <w:pict>
          <v:rect style="width:0;height:1.5pt" o:hralign="center" o:hrstd="t" o:hr="t"/>
        </w:pict>
      </w:r>
    </w:p>
    <w:bookmarkEnd w:id="10"/>
    <w:bookmarkStart w:id="11" w:name="system-overview"/>
    <w:p>
      <w:pPr>
        <w:pStyle w:val="Heading1"/>
      </w:pPr>
      <w:r>
        <w:t xml:space="preserve">2. System Overview</w:t>
      </w:r>
    </w:p>
    <w:p>
      <w:pPr>
        <w:pStyle w:val="FirstParagraph"/>
      </w:pPr>
      <w:r>
        <w:t xml:space="preserve">The runtime implements:</w:t>
      </w:r>
    </w:p>
    <w:p>
      <w:pPr>
        <w:pStyle w:val="Compact"/>
        <w:numPr>
          <w:ilvl w:val="0"/>
          <w:numId w:val="1001"/>
        </w:numPr>
      </w:pPr>
      <w:r>
        <w:t xml:space="preserve">Autoregressive decode</w:t>
      </w:r>
    </w:p>
    <w:p>
      <w:pPr>
        <w:pStyle w:val="Compact"/>
        <w:numPr>
          <w:ilvl w:val="0"/>
          <w:numId w:val="1001"/>
        </w:numPr>
      </w:pPr>
      <w:r>
        <w:t xml:space="preserve">KV cache</w:t>
      </w:r>
    </w:p>
    <w:p>
      <w:pPr>
        <w:pStyle w:val="Compact"/>
        <w:numPr>
          <w:ilvl w:val="0"/>
          <w:numId w:val="1001"/>
        </w:numPr>
      </w:pPr>
      <w:r>
        <w:t xml:space="preserve">Fused QKV projection</w:t>
      </w:r>
    </w:p>
    <w:p>
      <w:pPr>
        <w:pStyle w:val="Compact"/>
        <w:numPr>
          <w:ilvl w:val="0"/>
          <w:numId w:val="1001"/>
        </w:numPr>
      </w:pPr>
      <w:r>
        <w:t xml:space="preserve">Fused FFN (W1 + W3)</w:t>
      </w:r>
    </w:p>
    <w:p>
      <w:pPr>
        <w:pStyle w:val="Compact"/>
        <w:numPr>
          <w:ilvl w:val="0"/>
          <w:numId w:val="1001"/>
        </w:numPr>
      </w:pPr>
      <w:r>
        <w:t xml:space="preserve">FP16 Tensor Core acceleration</w:t>
      </w:r>
    </w:p>
    <w:p>
      <w:pPr>
        <w:pStyle w:val="Compact"/>
        <w:numPr>
          <w:ilvl w:val="0"/>
          <w:numId w:val="1001"/>
        </w:numPr>
      </w:pPr>
      <w:r>
        <w:t xml:space="preserve">Dynamic micro-batching scheduler</w:t>
      </w:r>
    </w:p>
    <w:p>
      <w:pPr>
        <w:pStyle w:val="Compact"/>
        <w:numPr>
          <w:ilvl w:val="0"/>
          <w:numId w:val="1001"/>
        </w:numPr>
      </w:pPr>
      <w:r>
        <w:t xml:space="preserve">Paged KV memory management</w:t>
      </w:r>
    </w:p>
    <w:p>
      <w:pPr>
        <w:pStyle w:val="Compact"/>
        <w:numPr>
          <w:ilvl w:val="0"/>
          <w:numId w:val="1001"/>
        </w:numPr>
      </w:pPr>
      <w:r>
        <w:t xml:space="preserve">Tail latency measurement (P50 / P95 / P99)</w:t>
      </w:r>
    </w:p>
    <w:p>
      <w:pPr>
        <w:pStyle w:val="FirstParagraph"/>
      </w:pPr>
      <w:r>
        <w:t xml:space="preserve">Hardware:</w:t>
      </w:r>
      <w:r>
        <w:t xml:space="preserve"> </w:t>
      </w:r>
      <w:r>
        <w:t xml:space="preserve">- NVIDIA RTX 2070 (SM 7.5)</w:t>
      </w:r>
      <w:r>
        <w:t xml:space="preserve"> </w:t>
      </w:r>
      <w:r>
        <w:t xml:space="preserve">- CUDA 13.x</w:t>
      </w:r>
      <w:r>
        <w:t xml:space="preserve"> </w:t>
      </w:r>
      <w:r>
        <w:t xml:space="preserve">- FP16 Tensor Cores</w:t>
      </w:r>
    </w:p>
    <w:p>
      <w:r>
        <w:pict>
          <v:rect style="width:0;height:1.5pt" o:hralign="center" o:hrstd="t" o:hr="t"/>
        </w:pict>
      </w:r>
    </w:p>
    <w:bookmarkEnd w:id="11"/>
    <w:bookmarkStart w:id="12" w:name="static-batch-scaling"/>
    <w:p>
      <w:pPr>
        <w:pStyle w:val="Heading1"/>
      </w:pPr>
      <w:r>
        <w:t xml:space="preserve">3. Static Batch Scaling</w:t>
      </w:r>
    </w:p>
    <w:p>
      <w:pPr>
        <w:pStyle w:val="FirstParagraph"/>
      </w:pPr>
      <w:r>
        <w:t xml:space="preserve">Throughput scaling (Stories110M):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Throughput (tok/s)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~3,700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~11,851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~17,846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~22,859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~24,483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~27,833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~29,650</w:t>
            </w:r>
          </w:p>
        </w:tc>
      </w:tr>
    </w:tbl>
    <w:p>
      <w:pPr>
        <w:pStyle w:val="BodyText"/>
      </w:pPr>
      <w:r>
        <w:t xml:space="preserve">Peak performance occurs near Batch ≈ 384.</w:t>
      </w:r>
    </w:p>
    <w:p>
      <w:r>
        <w:pict>
          <v:rect style="width:0;height:1.5pt" o:hralign="center" o:hrstd="t" o:hr="t"/>
        </w:pict>
      </w:r>
    </w:p>
    <w:bookmarkEnd w:id="12"/>
    <w:bookmarkStart w:id="13" w:name="dynamic-serving-simulation"/>
    <w:p>
      <w:pPr>
        <w:pStyle w:val="Heading1"/>
      </w:pPr>
      <w:r>
        <w:t xml:space="preserve">4. Dynamic Serving Simulation</w:t>
      </w:r>
    </w:p>
    <w:p>
      <w:pPr>
        <w:pStyle w:val="FirstParagraph"/>
      </w:pPr>
      <w:r>
        <w:t xml:space="preserve">Poisson arrival model was used to simulate real serving conditions.</w:t>
      </w:r>
    </w:p>
    <w:p>
      <w:pPr>
        <w:pStyle w:val="BodyText"/>
      </w:pPr>
      <w:r>
        <w:t xml:space="preserve">Sustainable serving capacity: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Req/s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2300</w:t>
            </w:r>
          </w:p>
        </w:tc>
        <w:tc>
          <w:tcPr/>
          <w:p>
            <w:pPr>
              <w:pStyle w:val="Compact"/>
            </w:pPr>
            <w:r>
              <w:t xml:space="preserve">~30k tok/s</w:t>
            </w:r>
          </w:p>
        </w:tc>
        <w:tc>
          <w:tcPr/>
          <w:p>
            <w:pPr>
              <w:pStyle w:val="Compact"/>
            </w:pPr>
            <w:r>
              <w:t xml:space="preserve">~134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~32k tok/s</w:t>
            </w:r>
          </w:p>
        </w:tc>
        <w:tc>
          <w:tcPr/>
          <w:p>
            <w:pPr>
              <w:pStyle w:val="Compact"/>
            </w:pPr>
            <w:r>
              <w:t xml:space="preserve">~145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2600</w:t>
            </w:r>
          </w:p>
        </w:tc>
        <w:tc>
          <w:tcPr/>
          <w:p>
            <w:pPr>
              <w:pStyle w:val="Compact"/>
            </w:pPr>
            <w:r>
              <w:t xml:space="preserve">~32k tok/s</w:t>
            </w:r>
          </w:p>
        </w:tc>
        <w:tc>
          <w:tcPr/>
          <w:p>
            <w:pPr>
              <w:pStyle w:val="Compact"/>
            </w:pPr>
            <w:r>
              <w:t xml:space="preserve">~198 ms</w:t>
            </w:r>
          </w:p>
        </w:tc>
      </w:tr>
    </w:tbl>
    <w:p>
      <w:pPr>
        <w:pStyle w:val="BodyText"/>
      </w:pPr>
      <w:r>
        <w:t xml:space="preserve">Capacity threshold observed near 2400–2500 req/s.</w:t>
      </w:r>
    </w:p>
    <w:p>
      <w:r>
        <w:pict>
          <v:rect style="width:0;height:1.5pt" o:hralign="center" o:hrstd="t" o:hr="t"/>
        </w:pict>
      </w:r>
    </w:p>
    <w:bookmarkEnd w:id="13"/>
    <w:bookmarkStart w:id="14" w:name="paged-kv-cache"/>
    <w:p>
      <w:pPr>
        <w:pStyle w:val="Heading1"/>
      </w:pPr>
      <w:r>
        <w:t xml:space="preserve">5. Paged KV Cache</w:t>
      </w:r>
    </w:p>
    <w:p>
      <w:pPr>
        <w:pStyle w:val="FirstParagraph"/>
      </w:pPr>
      <w:r>
        <w:t xml:space="preserve">To support dynamic batching and variable-length requests, KV memory was reorganized into fixed-size pages.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Reduced memory movement</w:t>
      </w:r>
      <w:r>
        <w:t xml:space="preserve"> </w:t>
      </w:r>
      <w:r>
        <w:t xml:space="preserve">- Improved flexibility</w:t>
      </w:r>
      <w:r>
        <w:t xml:space="preserve"> </w:t>
      </w:r>
      <w:r>
        <w:t xml:space="preserve">- Better serving realism</w:t>
      </w:r>
    </w:p>
    <w:p>
      <w:pPr>
        <w:pStyle w:val="BodyText"/>
      </w:pPr>
      <w:r>
        <w:t xml:space="preserve">Throughput impact: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batch</w:t>
            </w:r>
          </w:p>
        </w:tc>
        <w:tc>
          <w:tcPr/>
          <w:p>
            <w:pPr>
              <w:pStyle w:val="Compact"/>
            </w:pPr>
            <w:r>
              <w:t xml:space="preserve">~29k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batching</w:t>
            </w:r>
          </w:p>
        </w:tc>
        <w:tc>
          <w:tcPr/>
          <w:p>
            <w:pPr>
              <w:pStyle w:val="Compact"/>
            </w:pPr>
            <w:r>
              <w:t xml:space="preserve">~24k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Paged-HPC Ultra</w:t>
            </w:r>
          </w:p>
        </w:tc>
        <w:tc>
          <w:tcPr/>
          <w:p>
            <w:pPr>
              <w:pStyle w:val="Compact"/>
            </w:pPr>
            <w:r>
              <w:t xml:space="preserve">~25k tok/s</w:t>
            </w:r>
          </w:p>
        </w:tc>
      </w:tr>
    </w:tbl>
    <w:p>
      <w:pPr>
        <w:pStyle w:val="BodyText"/>
      </w:pPr>
      <w:r>
        <w:t xml:space="preserve">Paged architecture recovered most of the throughput while enabling realistic serving behavior.</w:t>
      </w:r>
    </w:p>
    <w:p>
      <w:r>
        <w:pict>
          <v:rect style="width:0;height:1.5pt" o:hralign="center" o:hrstd="t" o:hr="t"/>
        </w:pict>
      </w:r>
    </w:p>
    <w:bookmarkEnd w:id="14"/>
    <w:bookmarkStart w:id="15" w:name="tail-latency-analysis"/>
    <w:p>
      <w:pPr>
        <w:pStyle w:val="Heading1"/>
      </w:pPr>
      <w:r>
        <w:t xml:space="preserve">6. Tail Latency Analysis</w:t>
      </w:r>
    </w:p>
    <w:p>
      <w:pPr>
        <w:pStyle w:val="FirstParagraph"/>
      </w:pPr>
      <w:r>
        <w:t xml:space="preserve">At 2300 req/s:</w:t>
      </w:r>
    </w:p>
    <w:p>
      <w:pPr>
        <w:pStyle w:val="Compact"/>
        <w:numPr>
          <w:ilvl w:val="0"/>
          <w:numId w:val="1002"/>
        </w:numPr>
      </w:pPr>
      <w:r>
        <w:t xml:space="preserve">P50 ≈ 76 ms</w:t>
      </w:r>
    </w:p>
    <w:p>
      <w:pPr>
        <w:pStyle w:val="Compact"/>
        <w:numPr>
          <w:ilvl w:val="0"/>
          <w:numId w:val="1002"/>
        </w:numPr>
      </w:pPr>
      <w:r>
        <w:t xml:space="preserve">P95 ≈ 129 ms</w:t>
      </w:r>
    </w:p>
    <w:p>
      <w:pPr>
        <w:pStyle w:val="Compact"/>
        <w:numPr>
          <w:ilvl w:val="0"/>
          <w:numId w:val="1002"/>
        </w:numPr>
      </w:pPr>
      <w:r>
        <w:t xml:space="preserve">P99 ≈ 134 ms</w:t>
      </w:r>
    </w:p>
    <w:p>
      <w:pPr>
        <w:pStyle w:val="FirstParagraph"/>
      </w:pPr>
      <w:r>
        <w:t xml:space="preserve">At 2600 req/s:</w:t>
      </w:r>
    </w:p>
    <w:p>
      <w:pPr>
        <w:pStyle w:val="Compact"/>
        <w:numPr>
          <w:ilvl w:val="0"/>
          <w:numId w:val="1003"/>
        </w:numPr>
      </w:pPr>
      <w:r>
        <w:t xml:space="preserve">P99 increases significantly (~198 ms)</w:t>
      </w:r>
    </w:p>
    <w:p>
      <w:pPr>
        <w:pStyle w:val="Compact"/>
        <w:numPr>
          <w:ilvl w:val="0"/>
          <w:numId w:val="1003"/>
        </w:numPr>
      </w:pPr>
      <w:r>
        <w:t xml:space="preserve">System enters overload regime</w:t>
      </w:r>
    </w:p>
    <w:p>
      <w:pPr>
        <w:pStyle w:val="FirstParagraph"/>
      </w:pPr>
      <w:r>
        <w:t xml:space="preserve">Behavior matches classical queueing theory under saturation.</w:t>
      </w:r>
    </w:p>
    <w:p>
      <w:r>
        <w:pict>
          <v:rect style="width:0;height:1.5pt" o:hralign="center" o:hrstd="t" o:hr="t"/>
        </w:pict>
      </w:r>
    </w:p>
    <w:bookmarkEnd w:id="15"/>
    <w:bookmarkStart w:id="16" w:name="conclusions"/>
    <w:p>
      <w:pPr>
        <w:pStyle w:val="Heading1"/>
      </w:pPr>
      <w:r>
        <w:t xml:space="preserve">7. Conclusions</w:t>
      </w:r>
    </w:p>
    <w:p>
      <w:pPr>
        <w:pStyle w:val="FirstParagraph"/>
      </w:pPr>
      <w:r>
        <w:t xml:space="preserve">Key findings:</w:t>
      </w:r>
    </w:p>
    <w:p>
      <w:pPr>
        <w:pStyle w:val="Compact"/>
        <w:numPr>
          <w:ilvl w:val="0"/>
          <w:numId w:val="1004"/>
        </w:numPr>
      </w:pPr>
      <w:r>
        <w:t xml:space="preserve">Batch size dominates GPU utilization.</w:t>
      </w:r>
    </w:p>
    <w:p>
      <w:pPr>
        <w:pStyle w:val="Compact"/>
        <w:numPr>
          <w:ilvl w:val="0"/>
          <w:numId w:val="1004"/>
        </w:numPr>
      </w:pPr>
      <w:r>
        <w:t xml:space="preserve">cuBLAS Tensor Core GEMM is extremely difficult to outperform.</w:t>
      </w:r>
    </w:p>
    <w:p>
      <w:pPr>
        <w:pStyle w:val="Compact"/>
        <w:numPr>
          <w:ilvl w:val="0"/>
          <w:numId w:val="1004"/>
        </w:numPr>
      </w:pPr>
      <w:r>
        <w:t xml:space="preserve">Dynamic micro-batching retains ~80% of peak throughput.</w:t>
      </w:r>
    </w:p>
    <w:p>
      <w:pPr>
        <w:pStyle w:val="Compact"/>
        <w:numPr>
          <w:ilvl w:val="0"/>
          <w:numId w:val="1004"/>
        </w:numPr>
      </w:pPr>
      <w:r>
        <w:t xml:space="preserve">RTX 2070 physical throughput ceiling ≈ 30–32k tok/s.</w:t>
      </w:r>
    </w:p>
    <w:p>
      <w:pPr>
        <w:pStyle w:val="Compact"/>
        <w:numPr>
          <w:ilvl w:val="0"/>
          <w:numId w:val="1004"/>
        </w:numPr>
      </w:pPr>
      <w:r>
        <w:t xml:space="preserve">Sustainable serving capacity ≈ 2400–2500 req/s.</w:t>
      </w:r>
    </w:p>
    <w:p>
      <w:pPr>
        <w:pStyle w:val="Compact"/>
        <w:numPr>
          <w:ilvl w:val="0"/>
          <w:numId w:val="1004"/>
        </w:numPr>
      </w:pPr>
      <w:r>
        <w:t xml:space="preserve">Tail latency grows predictably beyond capacity threshold.</w:t>
      </w:r>
    </w:p>
    <w:p>
      <w:pPr>
        <w:pStyle w:val="FirstParagraph"/>
      </w:pPr>
      <w:r>
        <w:t xml:space="preserve">This project demonstrates end-to-end performance engineering, GPU saturation analysis, and serving capacity modeling on commodity hardware.</w:t>
      </w:r>
    </w:p>
    <w:p>
      <w:r>
        <w:pict>
          <v:rect style="width:0;height:1.5pt" o:hralign="center" o:hrstd="t" o:hr="t"/>
        </w:pict>
      </w:r>
    </w:p>
    <w:bookmarkEnd w:id="16"/>
    <w:bookmarkStart w:id="17" w:name="future-work"/>
    <w:p>
      <w:pPr>
        <w:pStyle w:val="Heading1"/>
      </w:pPr>
      <w:r>
        <w:t xml:space="preserve">8. Future Work</w:t>
      </w:r>
    </w:p>
    <w:p>
      <w:pPr>
        <w:pStyle w:val="Compact"/>
        <w:numPr>
          <w:ilvl w:val="0"/>
          <w:numId w:val="1005"/>
        </w:numPr>
      </w:pPr>
      <w:r>
        <w:t xml:space="preserve">KV cache compaction</w:t>
      </w:r>
    </w:p>
    <w:p>
      <w:pPr>
        <w:pStyle w:val="Compact"/>
        <w:numPr>
          <w:ilvl w:val="0"/>
          <w:numId w:val="1005"/>
        </w:numPr>
      </w:pPr>
      <w:r>
        <w:t xml:space="preserve">Multi-stream overlap</w:t>
      </w:r>
    </w:p>
    <w:p>
      <w:pPr>
        <w:pStyle w:val="Compact"/>
        <w:numPr>
          <w:ilvl w:val="0"/>
          <w:numId w:val="1005"/>
        </w:numPr>
      </w:pPr>
      <w:r>
        <w:t xml:space="preserve">Prefill vs decode separation</w:t>
      </w:r>
    </w:p>
    <w:p>
      <w:pPr>
        <w:pStyle w:val="Compact"/>
        <w:numPr>
          <w:ilvl w:val="0"/>
          <w:numId w:val="1005"/>
        </w:numPr>
      </w:pPr>
      <w:r>
        <w:t xml:space="preserve">Multi-GPU scaling</w:t>
      </w:r>
    </w:p>
    <w:p>
      <w:pPr>
        <w:pStyle w:val="Compact"/>
        <w:numPr>
          <w:ilvl w:val="0"/>
          <w:numId w:val="1005"/>
        </w:numPr>
      </w:pPr>
      <w:r>
        <w:t xml:space="preserve">Lower precision (FP8 / INT8 Tensor Core)</w:t>
      </w:r>
    </w:p>
    <w:p>
      <w:r>
        <w:pict>
          <v:rect style="width:0;height:1.5pt" o:hralign="center" o:hrstd="t" o:hr="t"/>
        </w:pict>
      </w:r>
    </w:p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NVIDIA CUDA Programming Guide</w:t>
      </w:r>
      <w:r>
        <w:br/>
      </w:r>
      <w:r>
        <w:t xml:space="preserve">Transformer Architecture (Vaswani et al.)</w:t>
      </w:r>
      <w:r>
        <w:br/>
      </w:r>
      <w:r>
        <w:t xml:space="preserve">Queueing Theory Fundamentals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High-Throughput Transformer Inference</dc:title>
  <dc:creator>João Felipe de Souza</dc:creator>
  <cp:keywords/>
  <dcterms:created xsi:type="dcterms:W3CDTF">2026-06-18T07:55:07Z</dcterms:created>
  <dcterms:modified xsi:type="dcterms:W3CDTF">2026-06-18T07:55:07Z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</Properties>
</file>