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Malgun Gothic" w:hAnsi="Malgun Gothic"/>
          <w:b/>
          <w:color w:val="002B49"/>
          <w:sz w:val="44"/>
        </w:rPr>
        <w:t>마이파크(MYPARK) 스크린 파크골프\n광산구 매장 상권 및 사업성 분석 보고서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대상 사업지 주소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전남광주통합특별시 광산구 신창동 653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분석 공간 규모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전용면적 120평 / 10타석 플래그십 기준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입지 최적성 등급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B등급 (76.0점 / 100점 만점 - 출점 양호 (Standard Spot))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예상 월 영업이익 (보편)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오토: 약 2,583만원 / 직접운영: 약 3,083만원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color w:val="002B49"/>
        </w:rPr>
        <w:t>1. 사업지 개요 및 출점 점검 요건 (현장 실측 기준)</w:t>
      </w:r>
    </w:p>
    <w:p>
      <w:r>
        <w:t>본 사업지는 전남광주통합특별시 광산구 신창동 653에 위치하며, 전용면적 약 120평 공간에 10개의 마이파크 스크린 파크골프 타석 및 라운지/카페가 구축되는 구조입니다.\n\n</w:t>
      </w:r>
      <w:r>
        <w:t>• 층고 요건: 권장 유효 층고 2.8m 이상 (※ 보/배관 간섭 현장 실측 필수)\n</w:t>
      </w:r>
      <w:r>
        <w:t>• 주차 요건: 타석당 1~1.2대(약 12대 이상) 주차 공간 확보 권장 (※ 건축물대장 확인 필요)\n</w:t>
      </w:r>
      <w:r>
        <w:t>• 이동 편의: 시니어 고객 특성상 승강기 완비 또는 완만한 접근 동선 점검 권장\n</w:t>
      </w:r>
      <w:r>
        <w:t>• 인허가 및 용도: 제2종 근린생활시설 또는 운동시설 (※ 지자체 체육시설 인허가 및 건축물 용도 검토 필요)</w:t>
      </w:r>
    </w:p>
    <w:p>
      <w:pPr>
        <w:pStyle w:val="Heading1"/>
      </w:pPr>
      <w:r>
        <w:rPr>
          <w:color w:val="002B49"/>
        </w:rPr>
        <w:t>2. 배후 상권 인구 및 시니어 타겟 분석</w:t>
      </w:r>
    </w:p>
    <w:p>
      <w:r>
        <w:t xml:space="preserve">사업지 반경 3km(자동차 10분 생활권) 내 거주 총인구는 118,200명(남 57,000명 / 여 61,200명)입니다. </w:t>
      </w:r>
      <w:r>
        <w:t>이 중 스크린 파크골프의 핵심 타겟인 50대 이상 장·노년층 인구는 약 46,686명으로 전체 인구의 39.5%를 차지합니다.\n</w:t>
      </w:r>
      <w:r>
        <w:t>특히 주간 시간대 소비를 주도하는 50대 이상 여성 인구가 24,510명에 달해 평일 낮 동호회 및 친목 모임 유치에 최적의 환경을 형성하고 있습니다.</w:t>
      </w:r>
    </w:p>
    <w:p>
      <w:pPr>
        <w:pStyle w:val="Heading1"/>
      </w:pPr>
      <w:r>
        <w:rPr>
          <w:color w:val="002B49"/>
        </w:rPr>
        <w:t>3. 상권 매출 동향 및 경쟁 환경</w:t>
      </w:r>
    </w:p>
    <w:p>
      <w:r>
        <w:t xml:space="preserve">소상공인 365 및 BASA 빅데이터 분석 결과, 해당 권역 내 스포츠/골프 업종의 월평균 매출액은 약 2,050만원 수준으로 안정적인 여가 소비력을 입증하고 있습니다. </w:t>
      </w:r>
      <w:r>
        <w:t xml:space="preserve">요일별로는 주말 평균 비중이 13.4%, 평일 월요일이 16.2%로 높게 나타나며, </w:t>
      </w:r>
      <w:r>
        <w:t>시간대별로는 주간(10~17시) 이용 비중이 71.4%로 일반 스크린골프 대비 주간 가동률이 압도적으로 높습니다.</w:t>
      </w:r>
    </w:p>
    <w:p>
      <w:pPr>
        <w:pStyle w:val="Heading1"/>
      </w:pPr>
      <w:r>
        <w:rPr>
          <w:color w:val="002B49"/>
        </w:rPr>
        <w:t>4. 재무 타당성 및 운영 방식별 손익/BEP 분석</w:t>
      </w:r>
    </w:p>
    <w:p>
      <w:r>
        <w:t>10타석 운영 기준, 3대 시나리오별 월간 예상 손익은 다음과 같습니다:\n</w:t>
      </w:r>
      <w:r>
        <w:t>• 보수적 시나리오: 월매출 2,865만원 / 월비용 1,169만원 / 월 영업이익 1,695만원\n</w:t>
      </w:r>
      <w:r>
        <w:t>• 보편적 시나리오: 월매출 3,840만원 / 월비용 1,256만원 / 월 영업이익 2,583만원\n</w:t>
      </w:r>
      <w:r>
        <w:t>• 긍정적 시나리오: 월매출 4,800만원 / 월비용 1,336만원 / 월 영업이익 3,464만원\n\n</w:t>
      </w:r>
      <w:r>
        <w:t>■ 운영 방식에 따른 손익분기점(BEP) 및 회수 기간 비교:\n</w:t>
      </w:r>
      <w:r>
        <w:t>1) 오토/위탁 운영 모델 (상주 직원 3명 고용):\n</w:t>
      </w:r>
      <w:r>
        <w:t xml:space="preserve">   • 월 고정비 1,640만원, 손익분기점 기기당 1일 0.9회전(월 240명 돌파 시 흑자)\n</w:t>
      </w:r>
      <w:r>
        <w:t xml:space="preserve">   • 보편 가동 시 월 순영업이익 약 2,583만원, 회수 기간 약 15.8개월\n\n</w:t>
      </w:r>
      <w:r>
        <w:t>2) 창업주 직접 운영 모델 (점주 1명 상주 + 파트타임 1명):\n</w:t>
      </w:r>
      <w:r>
        <w:t xml:space="preserve">   • 월 인건비 250만원 (월 500만원 인건비 절감), 월 고정비 1,140만원으로 급감\n</w:t>
      </w:r>
      <w:r>
        <w:t xml:space="preserve">   • 손익분기점(BEP) 기기당 1일 단 0.6회전(월 135명 / 일 4.5명 이용 시 돌파)\n</w:t>
      </w:r>
      <w:r>
        <w:t xml:space="preserve">   • 보편 가동 시 월 순영업이익 약 3,083만원 (영업이익률 60.0% 달성)\n</w:t>
      </w:r>
      <w:r>
        <w:t xml:space="preserve">   • 순투자금 3.19억원 전액 회수 기간: 단 12.8개월 (약 1년 1개월 만에 전액 회수)\n\n</w:t>
      </w:r>
      <w:r>
        <w:t>초기 순투자금(CAPEX)은 10타석 120평 기준 총 3억 3,600만원(장비 1.5억 + 인테리어 1.56억 + 초도용품 0.3억)입니다.</w:t>
      </w:r>
    </w:p>
    <w:p>
      <w:pPr>
        <w:pStyle w:val="Heading1"/>
      </w:pPr>
      <w:r>
        <w:rPr>
          <w:color w:val="002B49"/>
        </w:rPr>
        <w:t>5. 입지 최적성 5대 지표 평가 및 최종 제안</w:t>
      </w:r>
    </w:p>
    <w:p>
      <w:r>
        <w:t>본 사업지는 5대 다이아몬드 스코어링 결과 총점 76.0점(B등급 - 출점 양호 (Standard Spot))을 획득하였습니다.\n\n</w:t>
      </w:r>
      <w:r>
        <w:t>■ 가맹점 출점 기대효과:\n</w:t>
      </w:r>
      <w:r>
        <w:t>1. 평일 주간 높은 가동률 확보: 반경 3km 내 50대 이상 시니어 46,686명(39.5%) 및 주부 동호회를 타겟팅하여 평일 낮 10~17시 정기 모임 중심의 안정적 가동률을 확보합니다.</w:t>
        <w:br/>
        <w:t>2. 10타석 대규모 플래그십 시설 경쟁력: 기존 소규모 매장 대비 10타석 쾌적한 시설과 단체 모임 수용력으로 고객 선호도를 극대화합니다.</w:t>
        <w:br/>
        <w:t>3. 안정적 수익성 및 빠른 원금 회수: 보편적 가동 기준 월 순영업이익 약 2,583만원(영업이익률 67.3%)을 달성하여 약 12.3개월 만에 초기 순투자금 3.19억원을 전액 회수할 수 있습니다.\n\n</w:t>
      </w:r>
      <w:r>
        <w:t>■ 건물주 및 상가 상생 활성화 효과:\n</w:t>
      </w:r>
      <w:r>
        <w:t>1. 주간 시니어 소비층 지속 유입: 구매력과 여유가 있는 지역 50~70대 고객이 매일 건물을 방문하여 상가 내 식당, 병원, 약국, 카페 등 타 점포 매출을 동반 견인합니다.</w:t>
        <w:br/>
        <w:t>2. 공실 해소 및 장기 우량 임대차: 마이파크 매장 입점을 통해 공실을 해소하고 매월 안정적인 임대 수익을 확보합니다.</w:t>
        <w:br/>
        <w:t>3. 건물 전체의 자산 가치(Cap Rate) 상승: 대형 체육 집객 시설 입점으로 건물 인지도 및 상가 매매 가치 상승에 기여합니다.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