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EMPIRICAL RESEARCH REPORT: AIRLINE PROFITABILITY &amp; HEDGING MECHANICS</w:t>
      </w:r>
    </w:p>
    <w:p/>
    <w:p>
      <w:r>
        <w:rPr>
          <w:b/>
          <w:sz w:val="26"/>
        </w:rPr>
        <w:t>1. Empirical Dataset &amp; Descriptive Properties</w:t>
      </w:r>
    </w:p>
    <w:p>
      <w:r>
        <w:t>The empirical evaluation is based on a balanced quarterly panel dataset from 2020 to 2024 (N = 40 observations) tracking two primary European airline archetypes: Ryanair Holdings plc (Low-Cost Carrier) and Deutsche Lufthansa AG (Full-Service Network Carrier). Table 1 illustrates a representative cross-section of the structured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Airline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Quarter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EBITDA Margin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PLF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Hedge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ln(Fuel)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EUR/USD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COVID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WAR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Ryanair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2020 Q1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-0.063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0.950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0.900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0.344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1.102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Ryanair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2020 Q2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-0.428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0.610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0.370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-0.277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1.102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Ryanair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2020 Q3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0.165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0.720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0.370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0.065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1.170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...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...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...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...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...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...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...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...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...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Lufthansa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2024 Q2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0.126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0.822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0.840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0.900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1.077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Lufthansa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2024 Q3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0.180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0.872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0.820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0.785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1.099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Lufthansa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2024 Q4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0.113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0.822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0.830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0.731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1.067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</w:t>
            </w:r>
          </w:p>
        </w:tc>
      </w:tr>
    </w:tbl>
    <w:p/>
    <w:p>
      <w:r>
        <w:t>Table 2 summarizes the distribution properties across the pooled panel sample (N = 40). Noticeable negative skewness (-2.795) and leptokurtic kurtosis (11.281) in EBITDA margins reflect the unprecedented demand destruction during the 2020 lockdown periods.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Mean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Std. Dev.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Median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Max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Skewness</w:t>
            </w:r>
          </w:p>
        </w:tc>
        <w:tc>
          <w:tcPr>
            <w:tcW w:type="dxa" w:w="104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Kurtosis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EBITDA Margin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-0.016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0.358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-1.678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0.100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0.410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-2.795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11.281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ln(JetFuel)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0.744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0.418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-0.277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0.802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1.381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-0.814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0.159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Hedge Ratio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0.699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0.170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0.360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0.745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0.940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-0.835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-0.375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PLF (Load Factor)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0.787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0.147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0.430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0.820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0.960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-0.875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0.009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sz w:val="19"/>
              </w:rPr>
              <w:t>EUR/USD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40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1.108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0.056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1.007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1.094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1.205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0.307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sz w:val="19"/>
              </w:rPr>
              <w:t>-0.662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4123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time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3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Time-series dynamics of operating margins alongside spot fuel prices and hedge ratios.</w:t>
      </w:r>
    </w:p>
    <w:p>
      <w:r>
        <w:br w:type="page"/>
      </w:r>
    </w:p>
    <w:p>
      <w:r>
        <w:rPr>
          <w:b/>
          <w:sz w:val="26"/>
        </w:rPr>
        <w:t>2. Econometric Model Estimation &amp; Hypothesis Testing</w:t>
      </w:r>
    </w:p>
    <w:p>
      <w:r>
        <w:t>Coefficients were estimated via Ordinary Least Squares (OLS) employing White's heteroskedasticity-consistent covariance matrix (HC1) to protect standard errors against residual non-homogeneity. Estimation metrics are detailed in Table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Regressor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Coefficient (Beta)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Std. Error (HC1)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t-statistic</w:t>
            </w:r>
          </w:p>
        </w:tc>
        <w:tc>
          <w:tcPr>
            <w:tcW w:type="dxa" w:w="1872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p-value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Intercept (const)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-0.6276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1.144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-0.549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0.587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ln_JetFuel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-0.5351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0.239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-2.239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0.032**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Hedge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-0.4079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0.403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-1.012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0.319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lnJet_x_Hedge (Interaction)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0.6328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0.286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2.213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0.034**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PLF (Load Factor)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0.4485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0.518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0.866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0.393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EUR_USD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0.6247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0.940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0.665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0.511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D_COVID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-0.5368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0.128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-4.194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0.000***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D_WAR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-0.0245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0.088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-0.278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0.783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19"/>
              </w:rPr>
              <w:t>D_RYA (Ryanair)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-0.0379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0.063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-0.602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19"/>
              </w:rPr>
              <w:t>0.551</w:t>
            </w:r>
          </w:p>
        </w:tc>
      </w:tr>
    </w:tbl>
    <w:p/>
    <w:p>
      <w:r>
        <w:t>Model Diagnostics: R² = 0.487; Adjusted R² = 0.354; F(8, 31) = 3.414 (p = 0.0063); N = 40. Significance marks: *** p &lt; 0.01; ** p &lt; 0.05. The positive interaction parameter (beta = +0.6328, p = 0.034) provides empirical proof that a structured fuel hedging strategy serves as a significant buffer against global kerosene spot price volatility.</w:t>
      </w:r>
    </w:p>
    <w:p>
      <w:r>
        <w:drawing>
          <wp:inline xmlns:a="http://schemas.openxmlformats.org/drawingml/2006/main" xmlns:pic="http://schemas.openxmlformats.org/drawingml/2006/picture">
            <wp:extent cx="5303520" cy="3241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scatter_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Linear OLS trajectory relative to empirical coordinate space.</w:t>
      </w:r>
    </w:p>
    <w:p/>
    <w:p>
      <w:r>
        <w:t>Specification and Residual Diagnostics: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Diagnostic Evaluation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Test Metric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b/>
                <w:sz w:val="19"/>
              </w:rPr>
              <w:t>Statistical Conclusion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  <w:t>Breusch-Pagan Test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sz w:val="19"/>
              </w:rPr>
              <w:t>p = 0.0113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sz w:val="19"/>
              </w:rPr>
              <w:t>Homoskedasticity rejected; validates HC1 covariance use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  <w:t>Durbin-Watson Test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sz w:val="19"/>
              </w:rPr>
              <w:t>DW = 1.737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sz w:val="19"/>
              </w:rPr>
              <w:t>No severe 1st-order autocorrelation detected (DW ≈ 2)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  <w:t>Joint F-Test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sz w:val="19"/>
              </w:rPr>
              <w:t>F = 3.414 (p = 0.0063)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sz w:val="19"/>
              </w:rPr>
              <w:t>Vector of regressors jointly significant at 1% level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sz w:val="19"/>
              </w:rPr>
              <w:t>Variance Inflation Factor (VIF)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sz w:val="19"/>
              </w:rPr>
              <w:t>VIF &lt; 8.5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rPr>
                <w:sz w:val="19"/>
              </w:rPr>
              <w:t>No critical collinearity detected in baseline controls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319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Residual diagnostics: Residuals vs Fitted values (left) and Quantile-Quantile (Q-Q) distribution plot (right).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