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7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685"/>
        <w:gridCol w:w="3402"/>
        <w:gridCol w:w="3288"/>
        <w:tblGridChange w:id="0">
          <w:tblGrid>
            <w:gridCol w:w="3685"/>
            <w:gridCol w:w="3402"/>
            <w:gridCol w:w="32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7941e"/>
                <w:sz w:val="24"/>
                <w:szCs w:val="24"/>
                <w:rtl w:val="0"/>
              </w:rPr>
              <w:t xml:space="preserve">■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4b000"/>
                <w:sz w:val="22"/>
                <w:szCs w:val="22"/>
                <w:rtl w:val="0"/>
              </w:rPr>
              <w:t xml:space="preserve">Diagnósticos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9245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ec008c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8ebcf"/>
                <w:sz w:val="20"/>
                <w:szCs w:val="20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b9d531"/>
                <w:sz w:val="36"/>
                <w:szCs w:val="36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b5a"/>
                <w:sz w:val="17"/>
                <w:szCs w:val="17"/>
                <w:rtl w:val="0"/>
              </w:rPr>
              <w:t xml:space="preserve">www.unimed.com.br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8b5a" w:space="0" w:sz="8" w:val="single"/>
              <w:left w:color="008b5a" w:space="0" w:sz="8" w:val="single"/>
              <w:bottom w:color="008b5a" w:space="0" w:sz="8" w:val="single"/>
              <w:right w:color="008b5a" w:space="0" w:sz="8" w:val="single"/>
            </w:tcBorders>
            <w:shd w:fill="008b5a" w:val="clear"/>
            <w:vAlign w:val="top"/>
          </w:tcPr>
          <w:p w:rsidR="00000000" w:rsidDel="00000000" w:rsidP="00000000" w:rsidRDefault="00000000" w:rsidRPr="00000000" w14:paraId="00000006">
            <w:pPr>
              <w:spacing w:after="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94"/>
        <w:gridCol w:w="2494"/>
        <w:gridCol w:w="2494"/>
        <w:gridCol w:w="2494"/>
        <w:tblGridChange w:id="0">
          <w:tblGrid>
            <w:gridCol w:w="2494"/>
            <w:gridCol w:w="2494"/>
            <w:gridCol w:w="2494"/>
            <w:gridCol w:w="24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/Março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Pedido: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2711460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Eliabe Matos da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Sexo: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asculino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Enviar: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Unimed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CPF: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103369024-41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Médico: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BIZON JOSE ALEXANDRE CRM 118872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8.0" w:type="dxa"/>
        <w:jc w:val="center"/>
        <w:tblLayout w:type="fixed"/>
        <w:tblLook w:val="0400"/>
      </w:tblPr>
      <w:tblGrid>
        <w:gridCol w:w="9978"/>
        <w:tblGridChange w:id="0">
          <w:tblGrid>
            <w:gridCol w:w="9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b7a8" w:space="0" w:sz="12" w:val="single"/>
              <w:left w:color="3bb7a8" w:space="0" w:sz="12" w:val="single"/>
              <w:bottom w:color="3bb7a8" w:space="0" w:sz="12" w:val="single"/>
              <w:right w:color="3bb7a8" w:space="0" w:sz="12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240" w:before="1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0"/>
                <w:szCs w:val="30"/>
                <w:rtl w:val="0"/>
              </w:rPr>
              <w:t xml:space="preserve">LAUDO MÉDICO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lineRule="auto"/>
              <w:ind w:left="85" w:right="85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paciente supracitada apresenta implante de aparelho de interface cerebral (neuroestimulador ou interface cérebro-máquina) localizado no córtex parietal direito. Tal dispositivo foi implantado previamente pelo próprio paciente (auto-implante ou em contexto de pesquisa/experimental). Atualmente, há indicação de remoção cirúrgica eletiva devido a complicações no funcionamento do dispositivo.</w:t>
            </w:r>
          </w:p>
          <w:p w:rsidR="00000000" w:rsidDel="00000000" w:rsidP="00000000" w:rsidRDefault="00000000" w:rsidRPr="00000000" w14:paraId="0000001B">
            <w:pPr>
              <w:spacing w:after="240" w:lineRule="auto"/>
              <w:ind w:left="85" w:right="85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Ao exame neurológico, a paciente não apresenta déficits motores, sensitivos ou cognitivos focais grosseiros relacionados ao implante. Exames de neuroimagem (ressonância magnética ou tomografia computadorizada de crânio) confirmam a presença do aparelho de interface no córtex parietal direito, sem evidências de complicações agudas como infecção, hematoma ou edema perilesional significativo.</w:t>
            </w:r>
          </w:p>
          <w:p w:rsidR="00000000" w:rsidDel="00000000" w:rsidP="00000000" w:rsidRDefault="00000000" w:rsidRPr="00000000" w14:paraId="0000001C">
            <w:pPr>
              <w:spacing w:after="240" w:lineRule="auto"/>
              <w:ind w:left="85" w:right="85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paciente apresenta indicação de cirurgia cerebral para remoção do aparelho de interface implantado no córtex parietal direito. O procedimento proposto consiste em craniotomia parietal direita com remoção microcirúrgica do dispositivo. Trata-se de cirurgia eletiva, de baixa complexidade técnica, realizada sob anestesia geral, com monitorização neurofisiológica intraoperatória quando necessário.</w:t>
            </w:r>
          </w:p>
          <w:p w:rsidR="00000000" w:rsidDel="00000000" w:rsidP="00000000" w:rsidRDefault="00000000" w:rsidRPr="00000000" w14:paraId="0000001D">
            <w:pPr>
              <w:spacing w:after="240" w:lineRule="auto"/>
              <w:ind w:left="85" w:right="85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aparelho pode ser removido sem prejuízo funcional de qualquer natureza, uma vez que não há integração irreversível com o tecido cerebral adjacente e a localização no córtex parietal direito não compromete áreas eloquentes primárias de forma permanente na presente avaliação. Não se espera déficit motor, sensitivo, visuospatial ou cognitivo significativo no pós-operatório, desde que respeitadas as técnicas de preservação cortical e subcortical.</w:t>
            </w:r>
          </w:p>
          <w:p w:rsidR="00000000" w:rsidDel="00000000" w:rsidP="00000000" w:rsidRDefault="00000000" w:rsidRPr="00000000" w14:paraId="0000001E">
            <w:pPr>
              <w:spacing w:after="160" w:lineRule="auto"/>
              <w:ind w:left="8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CID10-Z96.82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071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819"/>
              <w:gridCol w:w="4252"/>
              <w:tblGridChange w:id="0">
                <w:tblGrid>
                  <w:gridCol w:w="4819"/>
                  <w:gridCol w:w="42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20">
                  <w:pPr>
                    <w:spacing w:after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f8ebcf"/>
                      <w:sz w:val="28"/>
                      <w:szCs w:val="28"/>
                      <w:rtl w:val="0"/>
                    </w:rPr>
                    <w:t xml:space="preserve">■</w:t>
                  </w: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e5f7f4"/>
                      <w:sz w:val="28"/>
                      <w:szCs w:val="28"/>
                      <w:rtl w:val="0"/>
                    </w:rPr>
                    <w:t xml:space="preserve">■</w:t>
                  </w: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f8d9e8"/>
                      <w:sz w:val="28"/>
                      <w:szCs w:val="28"/>
                      <w:rtl w:val="0"/>
                    </w:rPr>
                    <w:t xml:space="preserve">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f4f7c0"/>
                      <w:sz w:val="40"/>
                      <w:szCs w:val="40"/>
                      <w:rtl w:val="0"/>
                    </w:rPr>
                    <w:t xml:space="preserve">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22">
                  <w:pPr>
                    <w:spacing w:after="12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9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3288"/>
        <w:gridCol w:w="2835"/>
        <w:tblGridChange w:id="0">
          <w:tblGrid>
            <w:gridCol w:w="3969"/>
            <w:gridCol w:w="3288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COOP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Membro da Aliança</w:t>
              <w:br w:type="textWrapping"/>
              <w:t xml:space="preserve">Cooperativa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“Cooperativismo: caminho para a democracia e a paz.”</w:t>
              <w:br w:type="textWrapping"/>
              <w:t xml:space="preserve">Roberto Rodrigues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494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1814"/>
              <w:gridCol w:w="680"/>
              <w:tblGridChange w:id="0">
                <w:tblGrid>
                  <w:gridCol w:w="1814"/>
                  <w:gridCol w:w="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1d1d1d" w:val="clear"/>
                </w:tcPr>
                <w:p w:rsidR="00000000" w:rsidDel="00000000" w:rsidP="00000000" w:rsidRDefault="00000000" w:rsidRPr="00000000" w14:paraId="0000002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ANS - nº </w:t>
                  </w: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34294-5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9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624" w:top="680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