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>AI FitTrack – Proposed Solution Template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24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SWTID-2026-9501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FitTrack – AI-Powered Fitness Tracking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>2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Fitness users need a secure, centralized way to track workouts, review progress and receive personalized guidance without manually combining multiple tools.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A React web client backed by a JWT-secured Express REST API, MongoDB Atlas persistence, dashboard analytics and Gemini-powered fitness recommendations and insights.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>Combines workout CRUD, analytics and AI guidance in one modular full-stack application while keeping AI isolated behind a service layer.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Encourages consistent activity tracking, clearer progress awareness and personalized suggestions while presenting information in an accessible web interface.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Potential future freemium model: core tracking free, premium AI coaching, advanced analytics and integrations as optional paid capabilities.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React and API layers can be deployed independently; MongoDB Atlas supports managed database growth; additional services can be added without changing core workout routes.</w:t>
            </w:r>
          </w:p>
        </w:tc>
      </w:tr>
    </w:tbl>
    <w:p>
      <w:pPr/>
      <w:r>
        <w:rPr>
          <w:rFonts w:ascii="Arial" w:hAnsi="Arial"/>
          <w:b/>
          <w:sz w:val="28"/>
        </w:rPr>
        <w:t>Modern Product Positioning</w:t>
      </w:r>
    </w:p>
    <w:p>
      <w:pPr/>
      <w:r>
        <w:rPr>
          <w:rFonts w:ascii="Arial" w:hAnsi="Arial"/>
          <w:sz w:val="20"/>
        </w:rPr>
        <w:t>AI FitTrack is designed as a modular fitness platform rather than a single-purpose workout form. The product separates identity, workout history, analytics and AI coaching so each capability can evolve independently.</w:t>
      </w:r>
    </w:p>
    <w:p>
      <w:pPr>
        <w:ind w:left="360" w:hanging="216"/>
      </w:pPr>
      <w:r>
        <w:rPr>
          <w:rFonts w:ascii="Arial" w:hAnsi="Arial"/>
          <w:sz w:val="20"/>
        </w:rPr>
        <w:t>• Primary user: fitness user who wants simple tracking and progress visibility.</w:t>
      </w:r>
    </w:p>
    <w:p>
      <w:pPr>
        <w:ind w:left="360" w:hanging="216"/>
      </w:pPr>
      <w:r>
        <w:rPr>
          <w:rFonts w:ascii="Arial" w:hAnsi="Arial"/>
          <w:sz w:val="20"/>
        </w:rPr>
        <w:t>• Core value: structured workout history plus immediate analytics.</w:t>
      </w:r>
    </w:p>
    <w:p>
      <w:pPr>
        <w:ind w:left="360" w:hanging="216"/>
      </w:pPr>
      <w:r>
        <w:rPr>
          <w:rFonts w:ascii="Arial" w:hAnsi="Arial"/>
          <w:sz w:val="20"/>
        </w:rPr>
        <w:t>• AI value: personalized recommendations and insights when provider access is available.</w:t>
      </w:r>
    </w:p>
    <w:p>
      <w:pPr>
        <w:ind w:left="360" w:hanging="216"/>
      </w:pPr>
      <w:r>
        <w:rPr>
          <w:rFonts w:ascii="Arial" w:hAnsi="Arial"/>
          <w:sz w:val="20"/>
        </w:rPr>
        <w:t>• Trust value: authenticated access and user-scoped workout data.</w:t>
      </w:r>
    </w:p>
    <w:p>
      <w:pPr>
        <w:jc w:val="center"/>
      </w:pPr>
      <w:r>
        <w:drawing>
          <wp:inline>
            <wp:extent cx="5669280" cy="845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5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Arial" w:hAnsi="Arial"/>
          <w:b/>
          <w:sz w:val="28"/>
        </w:rPr>
        <w:t>Solution Success Measures</w:t>
      </w:r>
    </w:p>
    <w:p>
      <w:pPr>
        <w:ind w:left="360" w:hanging="216"/>
      </w:pPr>
      <w:r>
        <w:rPr>
          <w:rFonts w:ascii="Arial" w:hAnsi="Arial"/>
          <w:sz w:val="20"/>
        </w:rPr>
        <w:t>• User can complete registration and login without exposing passwords.</w:t>
      </w:r>
    </w:p>
    <w:p>
      <w:pPr>
        <w:ind w:left="360" w:hanging="216"/>
      </w:pPr>
      <w:r>
        <w:rPr>
          <w:rFonts w:ascii="Arial" w:hAnsi="Arial"/>
          <w:sz w:val="20"/>
        </w:rPr>
        <w:t>• Workout can be created, searched, updated and deleted.</w:t>
      </w:r>
    </w:p>
    <w:p>
      <w:pPr>
        <w:ind w:left="360" w:hanging="216"/>
      </w:pPr>
      <w:r>
        <w:rPr>
          <w:rFonts w:ascii="Arial" w:hAnsi="Arial"/>
          <w:sz w:val="20"/>
        </w:rPr>
        <w:t>• Dashboard provides consistent totals from stored workout records.</w:t>
      </w:r>
    </w:p>
    <w:p>
      <w:pPr>
        <w:ind w:left="360" w:hanging="216"/>
      </w:pPr>
      <w:r>
        <w:rPr>
          <w:rFonts w:ascii="Arial" w:hAnsi="Arial"/>
          <w:sz w:val="20"/>
        </w:rPr>
        <w:t>• React client and REST API remain usable independently.</w:t>
      </w:r>
    </w:p>
    <w:p>
      <w:pPr>
        <w:ind w:left="360" w:hanging="216"/>
      </w:pPr>
      <w:r>
        <w:rPr>
          <w:rFonts w:ascii="Arial" w:hAnsi="Arial"/>
          <w:sz w:val="20"/>
        </w:rPr>
        <w:t>• AI requests produce useful responses when Gemini generation access is enabled.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