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vAlign w:val="center"/>
          </w:tcPr>
          <w:p>
            <w:pPr>
              <w:jc w:val="center"/>
            </w:pPr>
            <w:r>
              <w:rPr>
                <w:b/>
                <w:bCs/>
                <w:color w:val="FFFFFF"/>
                <w:sz w:val="18"/>
                <w:szCs w:val="18"/>
              </w:rPr>
              <w:t xml:space="preserve">Fecha</w:t>
            </w:r>
          </w:p>
        </w:tc>
        <w:tc>
          <w:tcPr>
            <w:shd w:fill="0F172A" w:val="clear"/>
            <w:vAlign w:val="center"/>
          </w:tcPr>
          <w:p>
            <w:pPr>
              <w:jc w:val="center"/>
            </w:pPr>
            <w:r>
              <w:rPr>
                <w:b/>
                <w:bCs/>
                <w:color w:val="FFFFFF"/>
                <w:sz w:val="18"/>
                <w:szCs w:val="18"/>
              </w:rPr>
              <w:t xml:space="preserve">Rev.</w:t>
            </w:r>
          </w:p>
        </w:tc>
        <w:tc>
          <w:tcPr>
            <w:shd w:fill="0F172A" w:val="clear"/>
            <w:vAlign w:val="center"/>
          </w:tcPr>
          <w:p>
            <w:pPr>
              <w:jc w:val="center"/>
            </w:pPr>
            <w:r>
              <w:rPr>
                <w:b/>
                <w:bCs/>
                <w:color w:val="FFFFFF"/>
                <w:sz w:val="18"/>
                <w:szCs w:val="18"/>
              </w:rPr>
              <w:t xml:space="preserve">Elaborado</w:t>
            </w:r>
          </w:p>
        </w:tc>
        <w:tc>
          <w:tcPr>
            <w:shd w:fill="0F172A" w:val="clear"/>
            <w:vAlign w:val="center"/>
          </w:tcPr>
          <w:p>
            <w:pPr>
              <w:jc w:val="center"/>
            </w:pPr>
            <w:r>
              <w:rPr>
                <w:b/>
                <w:bCs/>
                <w:color w:val="FFFFFF"/>
                <w:sz w:val="18"/>
                <w:szCs w:val="18"/>
              </w:rPr>
              <w:t xml:space="preserve">Revisado</w:t>
            </w:r>
          </w:p>
        </w:tc>
        <w:tc>
          <w:tcPr>
            <w:shd w:fill="0F172A" w:val="clear"/>
            <w:vAlign w:val="center"/>
          </w:tcPr>
          <w:p>
            <w:pPr>
              <w:jc w:val="center"/>
            </w:pPr>
            <w:r>
              <w:rPr>
                <w:b/>
                <w:bCs/>
                <w:color w:val="FFFFFF"/>
                <w:sz w:val="18"/>
                <w:szCs w:val="18"/>
              </w:rPr>
              <w:t xml:space="preserve">Aprobado</w:t>
            </w:r>
          </w:p>
        </w:tc>
      </w:tr>
      <w:tr>
        <w:tc>
          <w:p>
            <w:pPr>
              <w:jc w:val="center"/>
            </w:pPr>
            <w:r>
              <w:rPr>
                <w:sz w:val="18"/>
                <w:szCs w:val="18"/>
              </w:rPr>
              <w:t xml:space="preserve">23/2/2026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p>
      <w:r>
        <w:br w:type="page"/>
      </w:r>
    </w:p>
    <w:p>
      <w:pPr>
        <w:spacing w:before="0" w:after="200"/>
      </w:pPr>
      <w:r>
        <w:rPr>
          <w:b/>
          <w:bCs/>
          <w:color w:val="0F172A"/>
          <w:sz w:val="32"/>
          <w:szCs w:val="32"/>
        </w:rP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p>
      <w:r>
        <w:br w:type="page"/>
      </w:r>
    </w:p>
    <w:p>
      <w:pPr>
        <w:spacing w:before="400" w:after="200"/>
      </w:pPr>
      <w:r>
        <w:rPr>
          <w:b/>
          <w:bCs/>
          <w:color w:val="0F172A"/>
          <w:sz w:val="28"/>
          <w:szCs w:val="28"/>
        </w:rP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0%. Se evaluaron los 188 ítems normativos definidos en el log maestro, identificando fortalezas técnicas operativas pero también brechas estructurales significativas en gobernanza, competencias y control documental integral.</w:t>
      </w:r>
    </w:p>
    <w:p>
      <w:r>
        <w:br w:type="page"/>
      </w:r>
    </w:p>
    <w:p>
      <w:pPr>
        <w:spacing w:before="400" w:after="200"/>
      </w:pPr>
      <w:r>
        <w:rPr>
          <w:b/>
          <w:bCs/>
          <w:color w:val="0F172A"/>
          <w:sz w:val="28"/>
          <w:szCs w:val="28"/>
        </w:rPr>
        <w:t xml:space="preserve">7. RESULTADOS DEL DIAGNÓSTICO</w:t>
      </w:r>
    </w:p>
    <w:p>
      <w:pPr>
        <w:spacing w:before="200" w:after="200"/>
      </w:pPr>
      <w:r>
        <w:rPr>
          <w:b/>
          <w:bCs/>
          <w:color w:val="0F172A"/>
          <w:sz w:val="22"/>
          <w:szCs w:val="22"/>
        </w:rP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vAlign w:val="center"/>
          </w:tcPr>
          <w:p>
            <w:pPr>
              <w:jc w:val="center"/>
            </w:pPr>
            <w:r>
              <w:rPr>
                <w:b/>
                <w:bCs/>
                <w:color w:val="FFFFFF"/>
                <w:sz w:val="18"/>
                <w:szCs w:val="18"/>
              </w:rPr>
              <w:t xml:space="preserve">PILAR ESTRATÉGICO</w:t>
            </w:r>
          </w:p>
        </w:tc>
        <w:tc>
          <w:tcPr>
            <w:shd w:fill="0F172A" w:val="clear"/>
            <w:vAlign w:val="center"/>
          </w:tcPr>
          <w:p>
            <w:pPr>
              <w:jc w:val="center"/>
            </w:pPr>
            <w:r>
              <w:rPr>
                <w:b/>
                <w:bCs/>
                <w:color w:val="FFFFFF"/>
                <w:sz w:val="18"/>
                <w:szCs w:val="18"/>
              </w:rPr>
              <w:t xml:space="preserve">% CUMPLIMIENTO ESTIMADO</w:t>
            </w:r>
          </w:p>
        </w:tc>
      </w:tr>
      <w:tr>
        <w:tc>
          <w:p>
            <w:r>
              <w:rPr>
                <w:b/>
                <w:bCs/>
                <w:sz w:val="18"/>
                <w:szCs w:val="18"/>
              </w:rPr>
              <w:t xml:space="preserve">Compromiso con la Seguridad de Procesos</w:t>
            </w:r>
          </w:p>
        </w:tc>
        <w:tc>
          <w:p>
            <w:pPr>
              <w:jc w:val="center"/>
            </w:pPr>
            <w:r>
              <w:rPr>
                <w:sz w:val="18"/>
                <w:szCs w:val="18"/>
              </w:rPr>
              <w:t xml:space="preserve">47%</w:t>
            </w:r>
          </w:p>
        </w:tc>
      </w:tr>
      <w:tr>
        <w:tc>
          <w:p>
            <w:r>
              <w:rPr>
                <w:b/>
                <w:bCs/>
                <w:sz w:val="18"/>
                <w:szCs w:val="18"/>
              </w:rPr>
              <w:t xml:space="preserve">Entender los Peligros y Riesgos</w:t>
            </w:r>
          </w:p>
        </w:tc>
        <w:tc>
          <w:p>
            <w:pPr>
              <w:jc w:val="center"/>
            </w:pPr>
            <w:r>
              <w:rPr>
                <w:sz w:val="18"/>
                <w:szCs w:val="18"/>
              </w:rPr>
              <w:t xml:space="preserve">43%</w:t>
            </w:r>
          </w:p>
        </w:tc>
      </w:tr>
      <w:tr>
        <w:tc>
          <w:p>
            <w:r>
              <w:rPr>
                <w:b/>
                <w:bCs/>
                <w:sz w:val="18"/>
                <w:szCs w:val="18"/>
              </w:rPr>
              <w:t xml:space="preserve">Gestión de Riesgos</w:t>
            </w:r>
          </w:p>
        </w:tc>
        <w:tc>
          <w:p>
            <w:pPr>
              <w:jc w:val="center"/>
            </w:pPr>
            <w:r>
              <w:rPr>
                <w:sz w:val="18"/>
                <w:szCs w:val="18"/>
              </w:rPr>
              <w:t xml:space="preserve">59%</w:t>
            </w:r>
          </w:p>
        </w:tc>
      </w:tr>
      <w:tr>
        <w:tc>
          <w:p>
            <w:r>
              <w:rPr>
                <w:b/>
                <w:bCs/>
                <w:sz w:val="18"/>
                <w:szCs w:val="18"/>
              </w:rPr>
              <w:t xml:space="preserve">Aprender de la Experiencia</w:t>
            </w:r>
          </w:p>
        </w:tc>
        <w:tc>
          <w:p>
            <w:pPr>
              <w:jc w:val="center"/>
            </w:pPr>
            <w:r>
              <w:rPr>
                <w:sz w:val="18"/>
                <w:szCs w:val="18"/>
              </w:rPr>
              <w:t xml:space="preserve">54%</w:t>
            </w:r>
          </w:p>
        </w:tc>
      </w:tr>
    </w:tbl>
    <w:p>
      <w:pPr>
        <w:spacing w:before="400" w:after="200"/>
      </w:pPr>
      <w:r>
        <w:rPr>
          <w:b/>
          <w:bCs/>
          <w:color w:val="0F172A"/>
          <w:sz w:val="22"/>
          <w:szCs w:val="22"/>
        </w:rP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SECCIÓN NORMATIVA</w:t>
            </w:r>
          </w:p>
        </w:tc>
        <w:tc>
          <w:tcPr>
            <w:shd w:fill="0F172A" w:val="clear"/>
            <w:vAlign w:val="center"/>
          </w:tcPr>
          <w:p>
            <w:pPr>
              <w:jc w:val="center"/>
            </w:pPr>
            <w:r>
              <w:rPr>
                <w:b/>
                <w:bCs/>
                <w:color w:val="FFFFFF"/>
                <w:sz w:val="18"/>
                <w:szCs w:val="18"/>
              </w:rPr>
              <w:t xml:space="preserve">ÍTÉMS RESUELTOS</w:t>
            </w:r>
          </w:p>
        </w:tc>
        <w:tc>
          <w:tcPr>
            <w:shd w:fill="0F172A" w:val="clear"/>
            <w:vAlign w:val="center"/>
          </w:tcPr>
          <w:p>
            <w:pPr>
              <w:jc w:val="center"/>
            </w:pPr>
            <w:r>
              <w:rPr>
                <w:b/>
                <w:bCs/>
                <w:color w:val="FFFFFF"/>
                <w:sz w:val="18"/>
                <w:szCs w:val="18"/>
              </w:rPr>
              <w:t xml:space="preserve">% EFECTIVIDAD</w:t>
            </w:r>
          </w:p>
        </w:tc>
      </w:tr>
      <w:tr>
        <w:tc>
          <w:p>
            <w:r>
              <w:rPr>
                <w:b/>
                <w:bCs/>
                <w:sz w:val="16"/>
                <w:szCs w:val="16"/>
              </w:rPr>
              <w:t xml:space="preserve">Cultura de Seguridad de Procesos</w:t>
            </w:r>
          </w:p>
        </w:tc>
        <w:tc>
          <w:p>
            <w:pPr>
              <w:jc w:val="center"/>
            </w:pPr>
            <w:r>
              <w:rPr>
                <w:sz w:val="16"/>
                <w:szCs w:val="16"/>
              </w:rPr>
              <w:t xml:space="preserve">10 / 10</w:t>
            </w:r>
          </w:p>
        </w:tc>
        <w:tc>
          <w:p>
            <w:pPr>
              <w:jc w:val="center"/>
            </w:pPr>
            <w:r>
              <w:rPr>
                <w:sz w:val="16"/>
                <w:szCs w:val="16"/>
              </w:rPr>
              <w:t xml:space="preserve">0%</w:t>
            </w:r>
          </w:p>
        </w:tc>
      </w:tr>
      <w:tr>
        <w:tc>
          <w:p>
            <w:r>
              <w:rPr>
                <w:b/>
                <w:bCs/>
                <w:sz w:val="16"/>
                <w:szCs w:val="16"/>
              </w:rPr>
              <w:t xml:space="preserve">Cumplimiento con Estándares</w:t>
            </w:r>
          </w:p>
        </w:tc>
        <w:tc>
          <w:p>
            <w:pPr>
              <w:jc w:val="center"/>
            </w:pPr>
            <w:r>
              <w:rPr>
                <w:sz w:val="16"/>
                <w:szCs w:val="16"/>
              </w:rPr>
              <w:t xml:space="preserve">7 / 7</w:t>
            </w:r>
          </w:p>
        </w:tc>
        <w:tc>
          <w:p>
            <w:pPr>
              <w:jc w:val="center"/>
            </w:pPr>
            <w:r>
              <w:rPr>
                <w:sz w:val="16"/>
                <w:szCs w:val="16"/>
              </w:rPr>
              <w:t xml:space="preserve">2%</w:t>
            </w:r>
          </w:p>
        </w:tc>
      </w:tr>
      <w:tr>
        <w:tc>
          <w:p>
            <w:r>
              <w:rPr>
                <w:b/>
                <w:bCs/>
                <w:sz w:val="16"/>
                <w:szCs w:val="16"/>
              </w:rPr>
              <w:t xml:space="preserve">Competencias en Seguridad de Procesos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Participación de los Trabajadores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Relación con Grupos de Interés Externos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Información de Seguridad del Proceso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Identificación de Peligros y Análisis de Riesgos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Procedimientos de Operación</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Prácticas de Trabajo Seguro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Integridad de Activos y Confiabilidad</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 Contratistas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Capacitación y Garantía del Desempeño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del Cambio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Disponibilidad Operativa (PSSR)</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Conducta en las Operaciones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 Emergencias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Investigación de Incidentes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Medición y Métricas del Desempeño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Auditorías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Revisión por la Gerencia</w:t>
            </w:r>
          </w:p>
        </w:tc>
        <w:tc>
          <w:p>
            <w:pPr>
              <w:jc w:val="center"/>
            </w:pPr>
            <w:r>
              <w:rPr>
                <w:sz w:val="16"/>
                <w:szCs w:val="16"/>
              </w:rPr>
              <w:t xml:space="preserve">0 / 0</w:t>
            </w:r>
          </w:p>
        </w:tc>
        <w:tc>
          <w:p>
            <w:pPr>
              <w:jc w:val="center"/>
            </w:pPr>
            <w:r>
              <w:rPr>
                <w:sz w:val="16"/>
                <w:szCs w:val="16"/>
              </w:rPr>
              <w:t xml:space="preserve">0%</w:t>
            </w:r>
          </w:p>
        </w:tc>
      </w:tr>
    </w:tbl>
    <w:p>
      <w:r>
        <w:br w:type="page"/>
      </w:r>
    </w:p>
    <w:p>
      <w:pPr>
        <w:spacing w:before="400" w:after="200"/>
      </w:pPr>
      <w:r>
        <w:rPr>
          <w:b/>
          <w:bCs/>
          <w:color w:val="0F172A"/>
          <w:sz w:val="28"/>
          <w:szCs w:val="28"/>
        </w:rPr>
        <w:t xml:space="preserve">8. RECOMENDACIONES Y PUNTOS CRÍTICOS</w:t>
      </w:r>
    </w:p>
    <w:p>
      <w:pPr>
        <w:spacing w:after="200"/>
        <w:jc w:val="both"/>
      </w:pPr>
      <w:r>
        <w:rPr>
          <w:b w:val="false"/>
          <w:bCs w:val="false"/>
          <w:sz w:val="22"/>
          <w:szCs w:val="22"/>
        </w:rPr>
        <w:t xml:space="preserve">A continuación se detallan los hallazgos técnicos para los 188 ítems del log maestro. Se priorizan los puntos críticos de los 4 pilares PSM para asegurar la integridad operativa de la instalación.</w:t>
      </w:r>
    </w:p>
    <w:p>
      <w:pPr>
        <w:spacing w:before="400" w:after="200"/>
      </w:pPr>
      <w:r>
        <w:rPr>
          <w:b/>
          <w:bCs/>
          <w:color w:val="0F172A"/>
          <w:sz w:val="20"/>
          <w:szCs w:val="20"/>
        </w:rPr>
        <w:t xml:space="preserve">Sección: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tcPr>
            <w:tcW w:type="pct" w:w="73%"/>
          </w:tcPr>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Situación Encontrada: No se identifica un proceso estructurado para la selección y evaluación de contratistas basado en desempeño de seguridad de procesos, ni evidencia de inducciones sobre escenarios de accidente mayor. Evidencia Analizada: Observación en campo sin registros de soporte técnico. Recomendación de Mejora: Implementar un procedimiento de gestión de contratistas que incorpore criterios de selección técnica alineados con el Decreto 1347 de 2021 y registros de inducción específica en peligros de proceso.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tcPr>
            <w:tcW w:type="pct" w:w="73%"/>
          </w:tcPr>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Situación Encontrada: Ausencia de un sistema formal para la captura y difusión de lecciones aprendidas derivadas de incidentes internos o externos. Evidencia Analizada: Entrevista y observación de campo durante la visita técnica. Recomendación de Mejora: Establecer un flujo de trabajo para el análisis de incidentes que garantice la actualización de matrices de riesgo y procedimientos operativos tras eventos críticos.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tcPr>
            <w:tcW w:type="pct" w:w="73%"/>
          </w:tcPr>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Situación Encontrada: No se evidencia un plan de comunicación interna sobre peligros de proceso ni registros de charlas de seguridad en el arranque de turno. Evidencia Analizada: Observación en campo. Recomendación de Mejora: Diseñar un cronograma anual de comunicación técnica sobre el Programa de Prevención de Accidentes Mayores (PPAM) dirigido a todo el personal operativo.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tcPr>
            <w:tcW w:type="pct" w:w="73%"/>
          </w:tcPr>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tcPr>
            <w:tcW w:type="pct" w:w="73%"/>
          </w:tcPr>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Situación Encontrada: La organización no integra criterios de riesgo de accidente mayor en las evaluaciones de inversión o proyectos de ampliación. Evidencia Analizada: Análisis de procesos reportado en la visita. Recomendación de Mejora: Incluir evaluaciones cualitativas y cuantitativas de riesgo (PHA/LOPA) como requisito obligatorio para la aprobación de proyectos de inversión CAPEX.</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tcPr>
            <w:tcW w:type="pct" w:w="73%"/>
          </w:tcPr>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Situación Encontrada: Inexistencia de una política de prevención de accidentes mayores firmada por la alta dirección y sin asignación presupuestal específica identificable. Evidencia Analizada: Observación institucional durante la visita. Recomendación de Mejora: Redactar y socializar la Política de Prevención de Accidentes Mayores conforme a la Resolución 5492 de 2024.</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tcPr>
            <w:tcW w:type="pct" w:w="73%"/>
          </w:tcPr>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Situación Encontrada: No se detecta participación activa de los operadores en los análisis de riesgos de proceso (PHA) ni en procesos de gestión del cambio. Evidencia Analizada: Testimonios recolectados en campo. Recomendación de Mejora: Formalizar la inclusión de personal de planta en las mesas técnicas de identificación de peligros y evaluación de riesgos.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tcPr>
            <w:tcW w:type="pct" w:w="73%"/>
          </w:tcPr>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Situación Encontrada: Falta de un lineamiento que priorice explícitamente la seguridad de procesos sobre las metas de producción. Evidencia Analizada: Observación de la cultura operativa en campo. Recomendación de Mejora: Documentar las reglas de oro y la autoridad de detención de procesos ante condiciones inseguras o salvaguardas inhabilitadas.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tcPr>
            <w:tcW w:type="pct" w:w="73%"/>
          </w:tcPr>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Situación Encontrada: Ausencia de un plan de formación técnica para representantes de los trabajadores en comités de seguridad de procesos. Evidencia Analizada: Entrevista y observación en campo. Recomendación de Mejora: Desarrollar un programa de capacitación en análisis de riesgos y prevención de accidentes mayores para los miembros de los comités.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tcPr>
            <w:tcW w:type="pct" w:w="73%"/>
          </w:tcPr>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Situación Encontrada: No se garantiza la participación de trabajadores contratistas en las actividades del SGSPAM. Evidencia Analizada: Observación de campo. Recomendación de Mejora: Abrir espacios de retroalimentación y participación para todo el personal, independientemente de su vinculación, en auditorías y simulacros.</w:t>
            </w:r>
          </w:p>
        </w:tc>
        <w:tc>
          <w:tcPr>
            <w:tcW w:type="pct" w:w="15%"/>
          </w:tcPr>
          <w:p>
            <w:pPr>
              <w:jc w:val="center"/>
            </w:pPr>
            <w:r>
              <w:rPr>
                <w:b/>
                <w:bCs/>
                <w:color w:val="10B981"/>
                <w:sz w:val="12"/>
                <w:szCs w:val="12"/>
              </w:rPr>
              <w:t xml:space="preserve">RESUELTO</w:t>
            </w:r>
          </w:p>
        </w:tc>
      </w:tr>
    </w:tbl>
    <w:p>
      <w:pPr>
        <w:spacing w:before="400" w:after="200"/>
      </w:pPr>
      <w:r>
        <w:rPr>
          <w:b/>
          <w:bCs/>
          <w:color w:val="0F172A"/>
          <w:sz w:val="20"/>
          <w:szCs w:val="20"/>
        </w:rPr>
        <w:t xml:space="preserve">Sección: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tcPr>
            <w:tcW w:type="pct" w:w="73%"/>
          </w:tcPr>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Situación Encontrada: No existe un canal de comunicación con la comunidad vecina sobre riesgos de proceso o medidas de emergencia. Evidencia Analizada: Observación en campo y entorno. Recomendación de Mejora: Elaborar piezas informativas y establecer reuniones periódicas con la comunidad para socializar qué hacer en caso de un accidente mayor.</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tcPr>
            <w:tcW w:type="pct" w:w="73%"/>
          </w:tcPr>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Situación Encontrada: Falta de coordinación formal con el Sistema Nacional de Gestión del Riesgo de Desastres (SNGRD). Evidencia Analizada: Observación técnica en visita. Recomendación de Mejora: Iniciar el relacionamiento con las autoridades locales para la entrega de información técnica necesaria para la planificación territorial.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tcPr>
            <w:tcW w:type="pct" w:w="73%"/>
          </w:tcPr>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Situación Encontrada: No se evidencian simulacros conjuntos con organismos de respuesta externa (bomberos, defensa civil) ni alineación de los planes de emergencia. Evidencia Analizada: Observación de campo. Recomendación de Mejora: Programar ejercicios de simulación que involucren a los entes de respuesta externa para validar protocolos de comunicación y rutas de acceso.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tcPr>
            <w:tcW w:type="pct" w:w="73%"/>
          </w:tcPr>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Situación Encontrada: Inexistencia de un plan anual de relacionamiento con grupos de interés externos en materia de seguridad de procesos. Evidencia Analizada: Observación en campo. Recomendación de Mejora: Identificar a los stakeholders críticos y definir un plan de interacción enfocado en la gestión de riesgos tecnológicos.</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tcPr>
            <w:tcW w:type="pct" w:w="73%"/>
          </w:tcPr>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Situación Encontrada: El informe de seguridad no ha sido radicado ante el Ministerio del Trabajo conforme a los plazos legales. Evidencia Analizada: Revisión documental durante la visita. Recomendación de Mejora: Elaborar y radicar de manera inmediata el Informe de Seguridad en la plataforma dispuesta por la autoridad laboral.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tcPr>
            <w:tcW w:type="pct" w:w="73%"/>
          </w:tcPr>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Situación Encontrada: Falta de un listado actualizado de Elementos Críticos de Seguridad (SCE) y sus respectivas fichas técnicas. Evidencia Analizada: Observación en campo. Recomendación de Mejora: Identificar y documentar los equipos críticos para la seguridad de procesos y poner la información a disposición del personal de mantenimiento.</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tcPr>
            <w:tcW w:type="pct" w:w="73%"/>
          </w:tcPr>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Se menciona la realización de una actividad técnica de prueba de funcionalidad. No obstante, no existe evidencia que demuestre que esta prueba forme parte de un programa sistemático de gestión de defectos con análisis de causa raíz o que se utilicen resultados de pruebas diagnósticas para alimentar el ciclo de mejora de seguridad de procesos bajo la Resolución 5492 de 2024. RECOMENDACIÓN: Implementar un procedimiento para la gestión de hallazgos derivados de pruebas de funcionalidad que incorpore análisis de causa raíz (como Árbol de Fallas) para anomalías detectadas en elementos de control críticos.</w:t>
            </w:r>
          </w:p>
        </w:tc>
        <w:tc>
          <w:tcPr>
            <w:tcW w:type="pct" w:w="15%"/>
          </w:tcPr>
          <w:p>
            <w:pPr>
              <w:jc w:val="center"/>
            </w:pPr>
            <w:r>
              <w:rPr>
                <w:b/>
                <w:bCs/>
                <w:color w:val="10B981"/>
                <w:sz w:val="12"/>
                <w:szCs w:val="12"/>
              </w:rPr>
              <w:t xml:space="preserve">RESUELTO</w:t>
            </w:r>
          </w:p>
        </w:tc>
      </w:tr>
    </w:tbl>
    <w:p>
      <w:r>
        <w:br w:type="page"/>
      </w:r>
    </w:p>
    <w:p>
      <w:pPr>
        <w:spacing w:before="400" w:after="200"/>
      </w:pPr>
      <w:r>
        <w:rPr>
          <w:b/>
          <w:bCs/>
          <w:color w:val="0F172A"/>
          <w:sz w:val="28"/>
          <w:szCs w:val="28"/>
        </w:rPr>
        <w:t xml:space="preserve">9. CONCLUSIONES</w:t>
      </w:r>
    </w:p>
    <w:p>
      <w:pPr>
        <w:spacing w:after="200"/>
        <w:jc w:val="both"/>
      </w:pPr>
      <w:r>
        <w:rPr>
          <w:b w:val="false"/>
          <w:bCs w:val="false"/>
          <w:sz w:val="22"/>
          <w:szCs w:val="22"/>
        </w:rPr>
        <w:t xml:space="preserve">La instalación REFINERÍA NORTE presenta una base operativa técnica sólida, sin embargo, existe una brecha crítica de formalización documental. Se requiere priorizar la resolución de los 171 ítems pendientes en el log maestro para garantizar el cumplimiento pleno del Decreto 1347 de 2021.</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r>
      <w:rPr>
        <w:i/>
        <w:iCs/>
        <w:sz w:val="14"/>
        <w:szCs w:val="14"/>
      </w:rPr>
      <w:t xml:space="preserve"> | REFINERÍA NORTE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2026-02-23T13:51:46.651Z</dcterms:created>
  <dcterms:modified xsi:type="dcterms:W3CDTF">2026-02-23T13:51:46.651Z</dcterms:modified>
</cp:coreProperties>
</file>

<file path=docProps/custom.xml><?xml version="1.0" encoding="utf-8"?>
<Properties xmlns="http://schemas.openxmlformats.org/officeDocument/2006/custom-properties" xmlns:vt="http://schemas.openxmlformats.org/officeDocument/2006/docPropsVTypes"/>
</file>