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sz w:val="48"/>
        </w:rPr>
        <w:t>INFORME EJECUTIVO DE RESULTADOS</w:t>
        <w:br/>
        <w:t>AUDITORÍA PSM</w:t>
      </w:r>
    </w:p>
    <w:p>
      <w:pPr>
        <w:jc w:val="center"/>
      </w:pPr>
      <w:r>
        <w:rPr>
          <w:rFonts w:ascii="Calibri" w:hAnsi="Calibri" w:eastAsia="Calibri"/>
          <w:b w:val="0"/>
          <w:sz w:val="28"/>
        </w:rPr>
        <w:t>Planta Termoeléctrica Valle del Sol | México</w:t>
      </w:r>
    </w:p>
    <w:p/>
    <w:tbl>
      <w:tblPr>
        <w:tblStyle w:val="TableGrid"/>
        <w:tblW w:type="auto" w:w="0"/>
        <w:jc w:val="center"/>
        <w:tblLook w:firstColumn="1" w:firstRow="1" w:lastColumn="0" w:lastRow="0" w:noHBand="0" w:noVBand="1" w:val="04A0"/>
      </w:tblPr>
      <w:tblGrid>
        <w:gridCol w:w="4873"/>
        <w:gridCol w:w="4873"/>
      </w:tblGrid>
      <w:tr>
        <w:tc>
          <w:tcPr>
            <w:tcW w:type="dxa" w:w="4873"/>
          </w:tcPr>
          <w:p>
            <w:r>
              <w:rPr>
                <w:sz w:val="20"/>
              </w:rPr>
              <w:t>Empresa (simulada)</w:t>
            </w:r>
          </w:p>
        </w:tc>
        <w:tc>
          <w:tcPr>
            <w:tcW w:type="dxa" w:w="4873"/>
          </w:tcPr>
          <w:p>
            <w:r>
              <w:rPr>
                <w:sz w:val="20"/>
              </w:rPr>
              <w:t>EnerNova Generación S.A. de C.V.</w:t>
            </w:r>
          </w:p>
        </w:tc>
      </w:tr>
      <w:tr>
        <w:tc>
          <w:tcPr>
            <w:tcW w:type="dxa" w:w="4873"/>
          </w:tcPr>
          <w:p>
            <w:r>
              <w:rPr>
                <w:sz w:val="20"/>
              </w:rPr>
              <w:t>Instalación</w:t>
            </w:r>
          </w:p>
        </w:tc>
        <w:tc>
          <w:tcPr>
            <w:tcW w:type="dxa" w:w="4873"/>
          </w:tcPr>
          <w:p>
            <w:r>
              <w:rPr>
                <w:sz w:val="20"/>
              </w:rPr>
              <w:t>Planta Termoeléctrica Valle del Sol (530 MW)</w:t>
            </w:r>
          </w:p>
        </w:tc>
      </w:tr>
      <w:tr>
        <w:tc>
          <w:tcPr>
            <w:tcW w:type="dxa" w:w="4873"/>
          </w:tcPr>
          <w:p>
            <w:r>
              <w:rPr>
                <w:sz w:val="20"/>
              </w:rPr>
              <w:t>Ubicación</w:t>
            </w:r>
          </w:p>
        </w:tc>
        <w:tc>
          <w:tcPr>
            <w:tcW w:type="dxa" w:w="4873"/>
          </w:tcPr>
          <w:p>
            <w:r>
              <w:rPr>
                <w:sz w:val="20"/>
              </w:rPr>
              <w:t>Parque Industrial El Dorado, Nuevo León, México</w:t>
            </w:r>
          </w:p>
        </w:tc>
      </w:tr>
      <w:tr>
        <w:tc>
          <w:tcPr>
            <w:tcW w:type="dxa" w:w="4873"/>
          </w:tcPr>
          <w:p>
            <w:r>
              <w:rPr>
                <w:sz w:val="20"/>
              </w:rPr>
              <w:t>Fecha de auditoría</w:t>
            </w:r>
          </w:p>
        </w:tc>
        <w:tc>
          <w:tcPr>
            <w:tcW w:type="dxa" w:w="4873"/>
          </w:tcPr>
          <w:p>
            <w:r>
              <w:rPr>
                <w:sz w:val="20"/>
              </w:rPr>
              <w:t>15-17 Ene 2026</w:t>
            </w:r>
          </w:p>
        </w:tc>
      </w:tr>
      <w:tr>
        <w:tc>
          <w:tcPr>
            <w:tcW w:type="dxa" w:w="4873"/>
          </w:tcPr>
          <w:p>
            <w:r>
              <w:rPr>
                <w:sz w:val="20"/>
              </w:rPr>
              <w:t>Equipo auditor</w:t>
            </w:r>
          </w:p>
        </w:tc>
        <w:tc>
          <w:tcPr>
            <w:tcW w:type="dxa" w:w="4873"/>
          </w:tcPr>
          <w:p>
            <w:r>
              <w:rPr>
                <w:sz w:val="20"/>
              </w:rPr>
              <w:t>HSE, Ingeniería de Procesos, Integridad Mecánica, Operación (equipo interno)</w:t>
            </w:r>
          </w:p>
        </w:tc>
      </w:tr>
      <w:tr>
        <w:tc>
          <w:tcPr>
            <w:tcW w:type="dxa" w:w="4873"/>
          </w:tcPr>
          <w:p>
            <w:r>
              <w:rPr>
                <w:sz w:val="20"/>
              </w:rPr>
              <w:t>Clasificación del documento</w:t>
            </w:r>
          </w:p>
        </w:tc>
        <w:tc>
          <w:tcPr>
            <w:tcW w:type="dxa" w:w="4873"/>
          </w:tcPr>
          <w:p>
            <w:r>
              <w:rPr>
                <w:sz w:val="20"/>
              </w:rPr>
              <w:t>CONFIDENCIAL - Uso interno / Dirección</w:t>
            </w:r>
          </w:p>
        </w:tc>
      </w:tr>
    </w:tbl>
    <w:p/>
    <w:p>
      <w:pPr>
        <w:jc w:val="center"/>
      </w:pPr>
      <w:r>
        <w:rPr>
          <w:rFonts w:ascii="Calibri" w:hAnsi="Calibri" w:eastAsia="Calibri"/>
          <w:b w:val="0"/>
          <w:color w:val="5A5A5A"/>
          <w:sz w:val="20"/>
        </w:rPr>
        <w:t>Este documento contiene información simulada para fines de demostración.</w:t>
        <w:br/>
        <w:t>No corresponde a ninguna instalación real.</w:t>
      </w:r>
    </w:p>
    <w:p>
      <w:r>
        <w:br w:type="page"/>
      </w:r>
    </w:p>
    <w:p>
      <w:pPr>
        <w:pStyle w:val="Heading1"/>
      </w:pPr>
      <w:r>
        <w:t>Contenido</w:t>
      </w:r>
    </w:p>
    <w:p>
      <w:r>
        <w:fldChar w:fldCharType="begin"/>
        <w:instrText xml:space="preserve">TOC \o "1-3" \h \z \u</w:instrText>
        <w:fldChar w:fldCharType="separate"/>
        <w:fldChar w:fldCharType="end"/>
      </w:r>
    </w:p>
    <w:p>
      <w:r>
        <w:br w:type="page"/>
      </w:r>
    </w:p>
    <w:p>
      <w:pPr>
        <w:pStyle w:val="Heading1"/>
      </w:pPr>
      <w:r>
        <w:t>1. Resumen ejecutivo</w:t>
      </w:r>
    </w:p>
    <w:p>
      <w:r>
        <w:t>Entre el 15 y el 17 de enero de 2026 se realizó una auditoría de Gestión de Seguridad de Procesos (PSM) en la Planta Termoeléctrica Valle del Sol, enfocada en identificar riesgos con potencial de evento mayor (pérdida de contención, incendio, explosión o liberación tóxica) y oportunidades para fortalecer el sistema.</w:t>
      </w:r>
    </w:p>
    <w:p>
      <w:pPr>
        <w:pStyle w:val="Heading2"/>
      </w:pPr>
      <w:r>
        <w:t>1.1 Resultados clave</w:t>
      </w:r>
    </w:p>
    <w:tbl>
      <w:tblPr>
        <w:tblStyle w:val="LightShading-Accent1"/>
        <w:tblW w:type="auto" w:w="0"/>
        <w:jc w:val="center"/>
        <w:tblLook w:firstColumn="1" w:firstRow="1" w:lastColumn="0" w:lastRow="0" w:noHBand="0" w:noVBand="1" w:val="04A0"/>
      </w:tblPr>
      <w:tblGrid>
        <w:gridCol w:w="2436"/>
        <w:gridCol w:w="2436"/>
        <w:gridCol w:w="2436"/>
        <w:gridCol w:w="2436"/>
      </w:tblGrid>
      <w:tr>
        <w:tc>
          <w:tcPr>
            <w:tcW w:type="dxa" w:w="2436"/>
          </w:tcPr>
          <w:p>
            <w:pPr>
              <w:spacing w:after="0"/>
            </w:pPr>
            <w:r>
              <w:rPr>
                <w:sz w:val="18"/>
              </w:rPr>
              <w:t>Hallazgos totales</w:t>
            </w:r>
          </w:p>
        </w:tc>
        <w:tc>
          <w:tcPr>
            <w:tcW w:type="dxa" w:w="2436"/>
          </w:tcPr>
          <w:p>
            <w:pPr>
              <w:spacing w:after="0"/>
            </w:pPr>
            <w:r>
              <w:rPr>
                <w:sz w:val="18"/>
              </w:rPr>
              <w:t>Críticos (P0)</w:t>
            </w:r>
          </w:p>
        </w:tc>
        <w:tc>
          <w:tcPr>
            <w:tcW w:type="dxa" w:w="2436"/>
          </w:tcPr>
          <w:p>
            <w:pPr>
              <w:spacing w:after="0"/>
            </w:pPr>
            <w:r>
              <w:rPr>
                <w:sz w:val="18"/>
              </w:rPr>
              <w:t>Altos (P1)</w:t>
            </w:r>
          </w:p>
        </w:tc>
        <w:tc>
          <w:tcPr>
            <w:tcW w:type="dxa" w:w="2436"/>
          </w:tcPr>
          <w:p>
            <w:pPr>
              <w:spacing w:after="0"/>
            </w:pPr>
            <w:r>
              <w:rPr>
                <w:sz w:val="18"/>
              </w:rPr>
              <w:t>Madurez PSM (0-5)</w:t>
            </w:r>
          </w:p>
        </w:tc>
      </w:tr>
      <w:tr>
        <w:tc>
          <w:tcPr>
            <w:tcW w:type="dxa" w:w="2436"/>
          </w:tcPr>
          <w:p>
            <w:pPr>
              <w:spacing w:after="0"/>
            </w:pPr>
            <w:r>
              <w:rPr>
                <w:sz w:val="18"/>
              </w:rPr>
              <w:t>38</w:t>
            </w:r>
          </w:p>
        </w:tc>
        <w:tc>
          <w:tcPr>
            <w:tcW w:type="dxa" w:w="2436"/>
          </w:tcPr>
          <w:p>
            <w:pPr>
              <w:spacing w:after="0"/>
            </w:pPr>
            <w:r>
              <w:rPr>
                <w:sz w:val="18"/>
              </w:rPr>
              <w:t>6</w:t>
            </w:r>
          </w:p>
        </w:tc>
        <w:tc>
          <w:tcPr>
            <w:tcW w:type="dxa" w:w="2436"/>
          </w:tcPr>
          <w:p>
            <w:pPr>
              <w:spacing w:after="0"/>
            </w:pPr>
            <w:r>
              <w:rPr>
                <w:sz w:val="18"/>
              </w:rPr>
              <w:t>10</w:t>
            </w:r>
          </w:p>
        </w:tc>
        <w:tc>
          <w:tcPr>
            <w:tcW w:type="dxa" w:w="2436"/>
          </w:tcPr>
          <w:p>
            <w:pPr>
              <w:spacing w:after="0"/>
            </w:pPr>
            <w:r>
              <w:rPr>
                <w:sz w:val="18"/>
              </w:rPr>
              <w:t>2.3</w:t>
            </w:r>
          </w:p>
        </w:tc>
      </w:tr>
      <w:tr>
        <w:tc>
          <w:tcPr>
            <w:tcW w:type="dxa" w:w="2436"/>
          </w:tcPr>
          <w:p>
            <w:pPr>
              <w:spacing w:after="0"/>
            </w:pPr>
            <w:r>
              <w:rPr>
                <w:sz w:val="18"/>
              </w:rPr>
              <w:t>Áreas con mayor concentración</w:t>
            </w:r>
          </w:p>
        </w:tc>
        <w:tc>
          <w:tcPr>
            <w:tcW w:type="dxa" w:w="2436"/>
          </w:tcPr>
          <w:p>
            <w:pPr>
              <w:spacing w:after="0"/>
            </w:pPr>
            <w:r>
              <w:rPr>
                <w:sz w:val="18"/>
              </w:rPr>
              <w:t>Integridad Mecánica</w:t>
            </w:r>
          </w:p>
        </w:tc>
        <w:tc>
          <w:tcPr>
            <w:tcW w:type="dxa" w:w="2436"/>
          </w:tcPr>
          <w:p>
            <w:pPr>
              <w:spacing w:after="0"/>
            </w:pPr>
            <w:r>
              <w:rPr>
                <w:sz w:val="18"/>
              </w:rPr>
              <w:t>MOC / Control &amp; SIS</w:t>
            </w:r>
          </w:p>
        </w:tc>
        <w:tc>
          <w:tcPr>
            <w:tcW w:type="dxa" w:w="2436"/>
          </w:tcPr>
          <w:p>
            <w:pPr>
              <w:spacing w:after="0"/>
            </w:pPr>
            <w:r>
              <w:rPr>
                <w:sz w:val="18"/>
              </w:rPr>
              <w:t>Procedimientos</w:t>
            </w:r>
          </w:p>
        </w:tc>
      </w:tr>
      <w:tr>
        <w:tc>
          <w:tcPr>
            <w:tcW w:type="dxa" w:w="2436"/>
          </w:tcPr>
          <w:p>
            <w:pPr>
              <w:spacing w:after="0"/>
            </w:pPr>
            <w:r>
              <w:rPr>
                <w:sz w:val="18"/>
              </w:rPr>
              <w:t>Decisión solicitada</w:t>
            </w:r>
          </w:p>
        </w:tc>
        <w:tc>
          <w:tcPr>
            <w:tcW w:type="dxa" w:w="2436"/>
          </w:tcPr>
          <w:p>
            <w:pPr>
              <w:spacing w:after="0"/>
            </w:pPr>
            <w:r>
              <w:rPr>
                <w:sz w:val="18"/>
              </w:rPr>
              <w:t>Aprobar plan P0</w:t>
            </w:r>
          </w:p>
        </w:tc>
        <w:tc>
          <w:tcPr>
            <w:tcW w:type="dxa" w:w="2436"/>
          </w:tcPr>
          <w:p>
            <w:pPr>
              <w:spacing w:after="0"/>
            </w:pPr>
            <w:r>
              <w:rPr>
                <w:sz w:val="18"/>
              </w:rPr>
              <w:t>Asignar recursos</w:t>
            </w:r>
          </w:p>
        </w:tc>
        <w:tc>
          <w:tcPr>
            <w:tcW w:type="dxa" w:w="2436"/>
          </w:tcPr>
          <w:p>
            <w:pPr>
              <w:spacing w:after="0"/>
            </w:pPr>
            <w:r>
              <w:rPr>
                <w:sz w:val="18"/>
              </w:rPr>
              <w:t>Gobernanza semanal</w:t>
            </w:r>
          </w:p>
        </w:tc>
      </w:tr>
    </w:tbl>
    <w:p/>
    <w:p>
      <w:pPr>
        <w:pStyle w:val="ListBullet"/>
        <w:spacing w:after="40"/>
      </w:pPr>
      <w:r>
        <w:t>Se identificaron 38 hallazgos: 6 críticos, 10 altos, 15 medios y 7 bajos.</w:t>
      </w:r>
    </w:p>
    <w:p>
      <w:pPr>
        <w:pStyle w:val="ListBullet"/>
        <w:spacing w:after="40"/>
      </w:pPr>
      <w:r>
        <w:t>Los riesgos críticos se concentran en: revalidación PHA, integridad mecánica, gestión de bypass/overrides, MOC, procedimientos con límites críticos y preparación ante emergencias.</w:t>
      </w:r>
    </w:p>
    <w:p>
      <w:pPr>
        <w:pStyle w:val="ListBullet"/>
        <w:spacing w:after="40"/>
      </w:pPr>
      <w:r>
        <w:t>Riesgo principal: degradación de barreras de prevención/protección que incrementa probabilidad de un evento de alta consecuencia.</w:t>
      </w:r>
    </w:p>
    <w:p>
      <w:pPr>
        <w:pStyle w:val="ListBullet"/>
        <w:spacing w:after="40"/>
      </w:pPr>
      <w:r>
        <w:t>Recomendación: ejecutar plan de contención P0 (0-30 días) y programa estructural P1-P2 (30-180 días) con verificación de efectividad.</w:t>
      </w:r>
    </w:p>
    <w:p>
      <w:pPr>
        <w:pStyle w:val="Heading2"/>
      </w:pPr>
      <w:r>
        <w:t>1.2 Visual ejecutivo</w:t>
      </w:r>
    </w:p>
    <w:p>
      <w:r>
        <w:t>Distribución de hallazgos por severidad:</w:t>
      </w:r>
    </w:p>
    <w:p>
      <w:r>
        <w:drawing>
          <wp:inline xmlns:a="http://schemas.openxmlformats.org/drawingml/2006/main" xmlns:pic="http://schemas.openxmlformats.org/drawingml/2006/picture">
            <wp:extent cx="5760720" cy="2836047"/>
            <wp:docPr id="1" name="Picture 1"/>
            <wp:cNvGraphicFramePr>
              <a:graphicFrameLocks noChangeAspect="1"/>
            </wp:cNvGraphicFramePr>
            <a:graphic>
              <a:graphicData uri="http://schemas.openxmlformats.org/drawingml/2006/picture">
                <pic:pic>
                  <pic:nvPicPr>
                    <pic:cNvPr id="0" name="grafico_hallazgos.png"/>
                    <pic:cNvPicPr/>
                  </pic:nvPicPr>
                  <pic:blipFill>
                    <a:blip r:embed="rId11"/>
                    <a:stretch>
                      <a:fillRect/>
                    </a:stretch>
                  </pic:blipFill>
                  <pic:spPr>
                    <a:xfrm>
                      <a:off x="0" y="0"/>
                      <a:ext cx="5760720" cy="2836047"/>
                    </a:xfrm>
                    <a:prstGeom prst="rect"/>
                  </pic:spPr>
                </pic:pic>
              </a:graphicData>
            </a:graphic>
          </wp:inline>
        </w:drawing>
      </w:r>
    </w:p>
    <w:p>
      <w:r>
        <w:t>Matriz de riesgo residual (conteo por severidad y probabilidad):</w:t>
      </w:r>
    </w:p>
    <w:p>
      <w:r>
        <w:drawing>
          <wp:inline xmlns:a="http://schemas.openxmlformats.org/drawingml/2006/main" xmlns:pic="http://schemas.openxmlformats.org/drawingml/2006/picture">
            <wp:extent cx="5760720" cy="3291840"/>
            <wp:docPr id="2" name="Picture 2"/>
            <wp:cNvGraphicFramePr>
              <a:graphicFrameLocks noChangeAspect="1"/>
            </wp:cNvGraphicFramePr>
            <a:graphic>
              <a:graphicData uri="http://schemas.openxmlformats.org/drawingml/2006/picture">
                <pic:pic>
                  <pic:nvPicPr>
                    <pic:cNvPr id="0" name="matriz_riesgo.png"/>
                    <pic:cNvPicPr/>
                  </pic:nvPicPr>
                  <pic:blipFill>
                    <a:blip r:embed="rId12"/>
                    <a:stretch>
                      <a:fillRect/>
                    </a:stretch>
                  </pic:blipFill>
                  <pic:spPr>
                    <a:xfrm>
                      <a:off x="0" y="0"/>
                      <a:ext cx="5760720" cy="3291840"/>
                    </a:xfrm>
                    <a:prstGeom prst="rect"/>
                  </pic:spPr>
                </pic:pic>
              </a:graphicData>
            </a:graphic>
          </wp:inline>
        </w:drawing>
      </w:r>
    </w:p>
    <w:p>
      <w:pPr>
        <w:pStyle w:val="Heading1"/>
      </w:pPr>
      <w:r>
        <w:t>2. Alcance y metodología</w:t>
      </w:r>
    </w:p>
    <w:p>
      <w:pPr>
        <w:pStyle w:val="Heading2"/>
      </w:pPr>
      <w:r>
        <w:t>2.1 Alcance (instalación y procesos)</w:t>
      </w:r>
    </w:p>
    <w:p>
      <w:pPr>
        <w:pStyle w:val="ListBullet"/>
        <w:spacing w:after="40"/>
      </w:pPr>
      <w:r>
        <w:t>Procesos incluidos: gas combustible y sistema de regulación, caldera y líneas de vapor, almacenamiento de diésel, sistema de amoniaco para control de NOx (SCR), hidrógeno para enfriamiento (si aplica), aire comprimido e instrumentación.</w:t>
      </w:r>
    </w:p>
    <w:p>
      <w:pPr>
        <w:pStyle w:val="ListBullet"/>
        <w:spacing w:after="40"/>
      </w:pPr>
      <w:r>
        <w:t>Áreas evaluadas: Operación, Mantenimiento, Ingeniería, HSE, Gestión de contratistas y Respuesta a emergencias.</w:t>
      </w:r>
    </w:p>
    <w:p>
      <w:pPr>
        <w:pStyle w:val="ListBullet"/>
        <w:spacing w:after="40"/>
      </w:pPr>
      <w:r>
        <w:t>Exclusiones: actividades administrativas no asociadas a seguridad de proceso; seguridad patrimonial (fuera de PSM).</w:t>
      </w:r>
    </w:p>
    <w:p>
      <w:pPr>
        <w:pStyle w:val="Heading2"/>
      </w:pPr>
      <w:r>
        <w:t>2.2 Metodología</w:t>
      </w:r>
    </w:p>
    <w:p>
      <w:pPr>
        <w:pStyle w:val="ListBullet"/>
        <w:spacing w:after="40"/>
      </w:pPr>
      <w:r>
        <w:t>Revisión documental: P&amp;IDs, procedimientos, registros de entrenamiento, MOC, MI (CMMS), investigaciones de incidentes, planes de emergencia, auditorías previas.</w:t>
      </w:r>
    </w:p>
    <w:p>
      <w:pPr>
        <w:pStyle w:val="ListBullet"/>
        <w:spacing w:after="40"/>
      </w:pPr>
      <w:r>
        <w:t>Entrevistas y recorridos: operación por turnos, mantenimiento, instrumentación y HSE.</w:t>
      </w:r>
    </w:p>
    <w:p>
      <w:pPr>
        <w:pStyle w:val="ListBullet"/>
        <w:spacing w:after="40"/>
      </w:pPr>
      <w:r>
        <w:t>Muestreo y trazabilidad: verificación de evidencias por elemento PSM y por barreras críticas (prevención/protección).</w:t>
      </w:r>
    </w:p>
    <w:p>
      <w:pPr>
        <w:pStyle w:val="ListBullet"/>
        <w:spacing w:after="40"/>
      </w:pPr>
      <w:r>
        <w:t>Criterios de severidad: combinación de consecuencia y probabilidad, considerando efectividad de barreras (ingenieriles, administrativas y humanas).</w:t>
      </w:r>
    </w:p>
    <w:p>
      <w:pPr>
        <w:pStyle w:val="Heading1"/>
      </w:pPr>
      <w:r>
        <w:t>3. Marco normativo y de referencia</w:t>
      </w:r>
    </w:p>
    <w:p>
      <w:r>
        <w:t>La auditoría se estructuró siguiendo los elementos típicos de PSM (p. ej., OSHA 29 CFR 1910.119) y buenas prácticas de seguridad de proceso (p. ej., CCPS). Para instalaciones con escenarios de liberación accidental, se considera coherencia con EPA RMP (40 CFR Part 68) y, para funciones instrumentadas de seguridad, el ciclo de vida recomendado por IEC 61511.</w:t>
      </w:r>
    </w:p>
    <w:p>
      <w:pPr>
        <w:pStyle w:val="ListBullet"/>
        <w:spacing w:after="40"/>
      </w:pPr>
      <w:r>
        <w:t>PSM: gestión integral de peligros de proceso y control de cambios, integridad mecánica, procedimientos, entrenamiento, investigación de incidentes y auditorías.</w:t>
      </w:r>
    </w:p>
    <w:p>
      <w:pPr>
        <w:pStyle w:val="ListBullet"/>
        <w:spacing w:after="40"/>
      </w:pPr>
      <w:r>
        <w:t>RMP (cuando aplica): prevención de liberaciones accidentales y coordinación con respuesta a emergencias.</w:t>
      </w:r>
    </w:p>
    <w:p>
      <w:pPr>
        <w:pStyle w:val="ListBullet"/>
        <w:spacing w:after="40"/>
      </w:pPr>
      <w:r>
        <w:t>SIS/funciones instrumentadas: especificación, pruebas, gestión de bypass y trazabilidad entre escenarios y barreras.</w:t>
      </w:r>
    </w:p>
    <w:p>
      <w:pPr>
        <w:pStyle w:val="Heading1"/>
      </w:pPr>
      <w:r>
        <w:t>4. Resultados globales</w:t>
      </w:r>
    </w:p>
    <w:p>
      <w:pPr>
        <w:pStyle w:val="Heading2"/>
      </w:pPr>
      <w:r>
        <w:t>4.1 Distribución de hallazgos</w:t>
      </w:r>
    </w:p>
    <w:tbl>
      <w:tblPr>
        <w:tblStyle w:val="TableGrid"/>
        <w:tblW w:type="auto" w:w="0"/>
        <w:tblLook w:firstColumn="1" w:firstRow="1" w:lastColumn="0" w:lastRow="0" w:noHBand="0" w:noVBand="1" w:val="04A0"/>
      </w:tblPr>
      <w:tblGrid>
        <w:gridCol w:w="3249"/>
        <w:gridCol w:w="3249"/>
        <w:gridCol w:w="3249"/>
      </w:tblGrid>
      <w:tr>
        <w:tc>
          <w:tcPr>
            <w:tcW w:type="dxa" w:w="3249"/>
          </w:tcPr>
          <w:p>
            <w:pPr>
              <w:spacing w:after="0"/>
            </w:pPr>
            <w:r>
              <w:rPr>
                <w:sz w:val="18"/>
              </w:rPr>
              <w:t>Severidad</w:t>
            </w:r>
          </w:p>
        </w:tc>
        <w:tc>
          <w:tcPr>
            <w:tcW w:type="dxa" w:w="3249"/>
          </w:tcPr>
          <w:p>
            <w:pPr>
              <w:spacing w:after="0"/>
            </w:pPr>
            <w:r>
              <w:rPr>
                <w:sz w:val="18"/>
              </w:rPr>
              <w:t>Cantidad</w:t>
            </w:r>
          </w:p>
        </w:tc>
        <w:tc>
          <w:tcPr>
            <w:tcW w:type="dxa" w:w="3249"/>
          </w:tcPr>
          <w:p>
            <w:pPr>
              <w:spacing w:after="0"/>
            </w:pPr>
            <w:r>
              <w:rPr>
                <w:sz w:val="18"/>
              </w:rPr>
              <w:t>%</w:t>
            </w:r>
          </w:p>
        </w:tc>
      </w:tr>
      <w:tr>
        <w:tc>
          <w:tcPr>
            <w:tcW w:type="dxa" w:w="3249"/>
          </w:tcPr>
          <w:p>
            <w:pPr>
              <w:spacing w:after="0"/>
            </w:pPr>
            <w:r>
              <w:rPr>
                <w:sz w:val="18"/>
              </w:rPr>
              <w:t>Críticos</w:t>
            </w:r>
          </w:p>
        </w:tc>
        <w:tc>
          <w:tcPr>
            <w:tcW w:type="dxa" w:w="3249"/>
          </w:tcPr>
          <w:p>
            <w:pPr>
              <w:spacing w:after="0"/>
            </w:pPr>
            <w:r>
              <w:rPr>
                <w:sz w:val="18"/>
              </w:rPr>
              <w:t>6</w:t>
            </w:r>
          </w:p>
        </w:tc>
        <w:tc>
          <w:tcPr>
            <w:tcW w:type="dxa" w:w="3249"/>
          </w:tcPr>
          <w:p>
            <w:pPr>
              <w:spacing w:after="0"/>
            </w:pPr>
            <w:r>
              <w:rPr>
                <w:sz w:val="18"/>
              </w:rPr>
              <w:t>16%</w:t>
            </w:r>
          </w:p>
        </w:tc>
      </w:tr>
      <w:tr>
        <w:tc>
          <w:tcPr>
            <w:tcW w:type="dxa" w:w="3249"/>
          </w:tcPr>
          <w:p>
            <w:pPr>
              <w:spacing w:after="0"/>
            </w:pPr>
            <w:r>
              <w:rPr>
                <w:sz w:val="18"/>
              </w:rPr>
              <w:t>Altos</w:t>
            </w:r>
          </w:p>
        </w:tc>
        <w:tc>
          <w:tcPr>
            <w:tcW w:type="dxa" w:w="3249"/>
          </w:tcPr>
          <w:p>
            <w:pPr>
              <w:spacing w:after="0"/>
            </w:pPr>
            <w:r>
              <w:rPr>
                <w:sz w:val="18"/>
              </w:rPr>
              <w:t>10</w:t>
            </w:r>
          </w:p>
        </w:tc>
        <w:tc>
          <w:tcPr>
            <w:tcW w:type="dxa" w:w="3249"/>
          </w:tcPr>
          <w:p>
            <w:pPr>
              <w:spacing w:after="0"/>
            </w:pPr>
            <w:r>
              <w:rPr>
                <w:sz w:val="18"/>
              </w:rPr>
              <w:t>26%</w:t>
            </w:r>
          </w:p>
        </w:tc>
      </w:tr>
      <w:tr>
        <w:tc>
          <w:tcPr>
            <w:tcW w:type="dxa" w:w="3249"/>
          </w:tcPr>
          <w:p>
            <w:pPr>
              <w:spacing w:after="0"/>
            </w:pPr>
            <w:r>
              <w:rPr>
                <w:sz w:val="18"/>
              </w:rPr>
              <w:t>Medios</w:t>
            </w:r>
          </w:p>
        </w:tc>
        <w:tc>
          <w:tcPr>
            <w:tcW w:type="dxa" w:w="3249"/>
          </w:tcPr>
          <w:p>
            <w:pPr>
              <w:spacing w:after="0"/>
            </w:pPr>
            <w:r>
              <w:rPr>
                <w:sz w:val="18"/>
              </w:rPr>
              <w:t>15</w:t>
            </w:r>
          </w:p>
        </w:tc>
        <w:tc>
          <w:tcPr>
            <w:tcW w:type="dxa" w:w="3249"/>
          </w:tcPr>
          <w:p>
            <w:pPr>
              <w:spacing w:after="0"/>
            </w:pPr>
            <w:r>
              <w:rPr>
                <w:sz w:val="18"/>
              </w:rPr>
              <w:t>39%</w:t>
            </w:r>
          </w:p>
        </w:tc>
      </w:tr>
      <w:tr>
        <w:tc>
          <w:tcPr>
            <w:tcW w:type="dxa" w:w="3249"/>
          </w:tcPr>
          <w:p>
            <w:pPr>
              <w:spacing w:after="0"/>
            </w:pPr>
            <w:r>
              <w:rPr>
                <w:sz w:val="18"/>
              </w:rPr>
              <w:t>Bajos</w:t>
            </w:r>
          </w:p>
        </w:tc>
        <w:tc>
          <w:tcPr>
            <w:tcW w:type="dxa" w:w="3249"/>
          </w:tcPr>
          <w:p>
            <w:pPr>
              <w:spacing w:after="0"/>
            </w:pPr>
            <w:r>
              <w:rPr>
                <w:sz w:val="18"/>
              </w:rPr>
              <w:t>7</w:t>
            </w:r>
          </w:p>
        </w:tc>
        <w:tc>
          <w:tcPr>
            <w:tcW w:type="dxa" w:w="3249"/>
          </w:tcPr>
          <w:p>
            <w:pPr>
              <w:spacing w:after="0"/>
            </w:pPr>
            <w:r>
              <w:rPr>
                <w:sz w:val="18"/>
              </w:rPr>
              <w:t>18%</w:t>
            </w:r>
          </w:p>
        </w:tc>
      </w:tr>
    </w:tbl>
    <w:p>
      <w:pPr>
        <w:pStyle w:val="Heading2"/>
      </w:pPr>
      <w:r>
        <w:t>4.2 Lectura ejecutiva de riesgo</w:t>
      </w:r>
    </w:p>
    <w:p>
      <w:pPr>
        <w:pStyle w:val="ListBullet"/>
        <w:spacing w:after="40"/>
      </w:pPr>
      <w:r>
        <w:t>La evidencia sugiere un sistema PSM operativo, pero con brechas en disciplina y trazabilidad que afectan barreras críticas.</w:t>
      </w:r>
    </w:p>
    <w:p>
      <w:pPr>
        <w:pStyle w:val="ListBullet"/>
        <w:spacing w:after="40"/>
      </w:pPr>
      <w:r>
        <w:t>La probabilidad de desviaciones peligrosas aumenta cuando PHA, MOC, MI y gestión de alarmas/bypass no están integrados y gobernados con cadencia.</w:t>
      </w:r>
    </w:p>
    <w:p>
      <w:pPr>
        <w:pStyle w:val="ListBullet"/>
        <w:spacing w:after="40"/>
      </w:pPr>
      <w:r>
        <w:t>Prioridad inmediata: recuperar barreras de prevención (límites operativos, MI, MOC) y protección (SIS, PSV, respuesta a emergencias).</w:t>
      </w:r>
    </w:p>
    <w:p>
      <w:pPr>
        <w:pStyle w:val="Heading1"/>
      </w:pPr>
      <w:r>
        <w:t>5. Hallazgos críticos (P0)</w:t>
      </w:r>
    </w:p>
    <w:p>
      <w:r>
        <w:t>Los siguientes hallazgos se clasifican como críticos por su potencial de contribuir a un evento mayor. Requieren contención inmediata, dueño, fecha y verificación de efectividad.</w:t>
      </w:r>
    </w:p>
    <w:p>
      <w:pPr>
        <w:pStyle w:val="Heading2"/>
      </w:pPr>
      <w:r>
        <w:t>C1. Revalidación PHA vencida y sin actualización frente a cambios operativos recientes</w:t>
      </w:r>
    </w:p>
    <w:p>
      <w:pPr>
        <w:pStyle w:val="ListBullet"/>
        <w:spacing w:after="40"/>
      </w:pPr>
      <w:r>
        <w:t>Elemento PSM: PHA</w:t>
      </w:r>
    </w:p>
    <w:p>
      <w:pPr>
        <w:pStyle w:val="ListBullet"/>
        <w:spacing w:after="40"/>
      </w:pPr>
      <w:r>
        <w:t>Evidencia: Registro de PHA indica última revalidación 2019; cambios de setpoints y lógica de control 2024-2025 sin LOPA asociada.</w:t>
      </w:r>
    </w:p>
    <w:p>
      <w:pPr>
        <w:pStyle w:val="ListBullet"/>
        <w:spacing w:after="40"/>
      </w:pPr>
      <w:r>
        <w:t>Riesgo: Escenarios de sobrepresión y liberación de combustible/amoniaco pueden no estar cubiertos; barreras insuficientes.</w:t>
      </w:r>
    </w:p>
    <w:p>
      <w:pPr>
        <w:pStyle w:val="ListBullet"/>
        <w:spacing w:after="40"/>
      </w:pPr>
      <w:r>
        <w:t>Acción recomendada: Ejecutar revalidación PHA priorizada por unidades críticas; actualizar lista de recomendaciones y cerrar acciones con verificación.</w:t>
      </w:r>
    </w:p>
    <w:p>
      <w:pPr>
        <w:pStyle w:val="ListBullet"/>
        <w:spacing w:after="40"/>
      </w:pPr>
      <w:r>
        <w:t>Dueño / Sponsor: Gerencia de Ingeniería / Gerencia de Operaciones</w:t>
      </w:r>
    </w:p>
    <w:p>
      <w:pPr>
        <w:pStyle w:val="ListBullet"/>
        <w:spacing w:after="40"/>
      </w:pPr>
      <w:r>
        <w:t>Fecha objetivo: 01-Mar-2026 (Prioridad P0)</w:t>
      </w:r>
    </w:p>
    <w:p>
      <w:pPr>
        <w:pStyle w:val="Heading2"/>
      </w:pPr>
      <w:r>
        <w:t>C2. Backlog de inspecciones y pruebas de integridad mecánica en equipos de contención primaria</w:t>
      </w:r>
    </w:p>
    <w:p>
      <w:pPr>
        <w:pStyle w:val="ListBullet"/>
        <w:spacing w:after="40"/>
      </w:pPr>
      <w:r>
        <w:t>Elemento PSM: Mechanical Integrity</w:t>
      </w:r>
    </w:p>
    <w:p>
      <w:pPr>
        <w:pStyle w:val="ListBullet"/>
        <w:spacing w:after="40"/>
      </w:pPr>
      <w:r>
        <w:t>Evidencia: PM/inspecciones vencidas en 4 PSV, 2 recipientes presurizados y 6 lazos críticos; evidencia en CMMS.</w:t>
      </w:r>
    </w:p>
    <w:p>
      <w:pPr>
        <w:pStyle w:val="ListBullet"/>
        <w:spacing w:after="40"/>
      </w:pPr>
      <w:r>
        <w:t>Riesgo: Falla súbita de equipo presurizado/PSV fuera de calibración puede causar LOPC e ignición.</w:t>
      </w:r>
    </w:p>
    <w:p>
      <w:pPr>
        <w:pStyle w:val="ListBullet"/>
        <w:spacing w:after="40"/>
      </w:pPr>
      <w:r>
        <w:t>Acción recomendada: Definir lista de equipos críticos (A); recuperar pruebas vencidas; establecer disciplina de intervalos y registros.</w:t>
      </w:r>
    </w:p>
    <w:p>
      <w:pPr>
        <w:pStyle w:val="ListBullet"/>
        <w:spacing w:after="40"/>
      </w:pPr>
      <w:r>
        <w:t>Dueño / Sponsor: Jefe de Mantenimiento / Gerencia de Planta</w:t>
      </w:r>
    </w:p>
    <w:p>
      <w:pPr>
        <w:pStyle w:val="ListBullet"/>
        <w:spacing w:after="40"/>
      </w:pPr>
      <w:r>
        <w:t>Fecha objetivo: 14-Feb-2026 (Prioridad P0)</w:t>
      </w:r>
    </w:p>
    <w:p>
      <w:pPr>
        <w:pStyle w:val="Heading2"/>
      </w:pPr>
      <w:r>
        <w:t>C3. Gestión de bypass/overrides de alarmas e interlocks sin control formal</w:t>
      </w:r>
    </w:p>
    <w:p>
      <w:pPr>
        <w:pStyle w:val="ListBullet"/>
        <w:spacing w:after="40"/>
      </w:pPr>
      <w:r>
        <w:t>Elemento PSM: SIS/Alarmas</w:t>
      </w:r>
    </w:p>
    <w:p>
      <w:pPr>
        <w:pStyle w:val="ListBullet"/>
        <w:spacing w:after="40"/>
      </w:pPr>
      <w:r>
        <w:t>Evidencia: Se identificaron 3 bypass activos sin autorización vigente y sin fecha de expiración; bitácora incompleta.</w:t>
      </w:r>
    </w:p>
    <w:p>
      <w:pPr>
        <w:pStyle w:val="ListBullet"/>
        <w:spacing w:after="40"/>
      </w:pPr>
      <w:r>
        <w:t>Riesgo: Degradación de capas de protección (LOPA) incrementa probabilidad de evento mayor.</w:t>
      </w:r>
    </w:p>
    <w:p>
      <w:pPr>
        <w:pStyle w:val="ListBullet"/>
        <w:spacing w:after="40"/>
      </w:pPr>
      <w:r>
        <w:t>Acción recomendada: Implementar registro único de bypass; autorización por nivel; expiración obligatoria; auditoría semanal.</w:t>
      </w:r>
    </w:p>
    <w:p>
      <w:pPr>
        <w:pStyle w:val="ListBullet"/>
        <w:spacing w:after="40"/>
      </w:pPr>
      <w:r>
        <w:t>Dueño / Sponsor: Líder de Control e Instrumentación / Gerencia de Operaciones</w:t>
      </w:r>
    </w:p>
    <w:p>
      <w:pPr>
        <w:pStyle w:val="ListBullet"/>
        <w:spacing w:after="40"/>
      </w:pPr>
      <w:r>
        <w:t>Fecha objetivo: 29-Jan-2026 (Prioridad P0)</w:t>
      </w:r>
    </w:p>
    <w:p>
      <w:pPr>
        <w:pStyle w:val="Heading2"/>
      </w:pPr>
      <w:r>
        <w:t>C4. Procedimientos operativos sin límites críticos (SOL) y respuesta estandarizada a desviaciones</w:t>
      </w:r>
    </w:p>
    <w:p>
      <w:pPr>
        <w:pStyle w:val="ListBullet"/>
        <w:spacing w:after="40"/>
      </w:pPr>
      <w:r>
        <w:t>Elemento PSM: Operating Procedures</w:t>
      </w:r>
    </w:p>
    <w:p>
      <w:pPr>
        <w:pStyle w:val="ListBullet"/>
        <w:spacing w:after="40"/>
      </w:pPr>
      <w:r>
        <w:t>Evidencia: SOPs de arranque/parada no incluyen límites, consecuencias, ni acciones ante desviaciones; hallazgo por muestreo de 5 SOPs.</w:t>
      </w:r>
    </w:p>
    <w:p>
      <w:pPr>
        <w:pStyle w:val="ListBullet"/>
        <w:spacing w:after="40"/>
      </w:pPr>
      <w:r>
        <w:t>Riesgo: Operación fuera de diseño y respuesta tardía ante desviaciones puede derivar en evento mayor.</w:t>
      </w:r>
    </w:p>
    <w:p>
      <w:pPr>
        <w:pStyle w:val="ListBullet"/>
        <w:spacing w:after="40"/>
      </w:pPr>
      <w:r>
        <w:t>Acción recomendada: Actualizar SOPs con SOL, setpoints, alarmas críticas y acciones; ejecutar checkride y evaluación práctica.</w:t>
      </w:r>
    </w:p>
    <w:p>
      <w:pPr>
        <w:pStyle w:val="ListBullet"/>
        <w:spacing w:after="40"/>
      </w:pPr>
      <w:r>
        <w:t>Dueño / Sponsor: Superintendencia de Operaciones / Gerencia de Calidad/HSE</w:t>
      </w:r>
    </w:p>
    <w:p>
      <w:pPr>
        <w:pStyle w:val="ListBullet"/>
        <w:spacing w:after="40"/>
      </w:pPr>
      <w:r>
        <w:t>Fecha objetivo: 16-Mar-2026 (Prioridad P0)</w:t>
      </w:r>
    </w:p>
    <w:p>
      <w:pPr>
        <w:pStyle w:val="Heading2"/>
      </w:pPr>
      <w:r>
        <w:t>C5. MOC incompleto para cambios temporales y modificaciones menores (gestión documental y aprobación)</w:t>
      </w:r>
    </w:p>
    <w:p>
      <w:pPr>
        <w:pStyle w:val="ListBullet"/>
        <w:spacing w:after="40"/>
      </w:pPr>
      <w:r>
        <w:t>Elemento PSM: MOC</w:t>
      </w:r>
    </w:p>
    <w:p>
      <w:pPr>
        <w:pStyle w:val="ListBullet"/>
        <w:spacing w:after="40"/>
      </w:pPr>
      <w:r>
        <w:t>Evidencia: Cambios temporales en configuración de válvulas y lógica de control sin MOC completo; PSI no actualizado.</w:t>
      </w:r>
    </w:p>
    <w:p>
      <w:pPr>
        <w:pStyle w:val="ListBullet"/>
        <w:spacing w:after="40"/>
      </w:pPr>
      <w:r>
        <w:t>Riesgo: Cambios no evaluados pueden introducir nuevos peligros y fallas sistémicas.</w:t>
      </w:r>
    </w:p>
    <w:p>
      <w:pPr>
        <w:pStyle w:val="ListBullet"/>
        <w:spacing w:after="40"/>
      </w:pPr>
      <w:r>
        <w:t>Acción recomendada: Establecer ‘MOC rápido’ para cambios temporales; comité semanal; actualización PSI y PSSR cuando aplique.</w:t>
      </w:r>
    </w:p>
    <w:p>
      <w:pPr>
        <w:pStyle w:val="ListBullet"/>
        <w:spacing w:after="40"/>
      </w:pPr>
      <w:r>
        <w:t>Dueño / Sponsor: Coordinador de Ingeniería de Procesos / Gerencia de Planta</w:t>
      </w:r>
    </w:p>
    <w:p>
      <w:pPr>
        <w:pStyle w:val="ListBullet"/>
        <w:spacing w:after="40"/>
      </w:pPr>
      <w:r>
        <w:t>Fecha objetivo: 14-Feb-2026 (Prioridad P0)</w:t>
      </w:r>
    </w:p>
    <w:p>
      <w:pPr>
        <w:pStyle w:val="Heading2"/>
      </w:pPr>
      <w:r>
        <w:t>C6. Plan de respuesta a emergencias no probado para escenarios de mayor consecuencia</w:t>
      </w:r>
    </w:p>
    <w:p>
      <w:pPr>
        <w:pStyle w:val="ListBullet"/>
        <w:spacing w:after="40"/>
      </w:pPr>
      <w:r>
        <w:t>Elemento PSM: Emergency Planning</w:t>
      </w:r>
    </w:p>
    <w:p>
      <w:pPr>
        <w:pStyle w:val="ListBullet"/>
        <w:spacing w:after="40"/>
      </w:pPr>
      <w:r>
        <w:t>Evidencia: Simulacros 2025 centrados en eventos menores; no se evidencian ejercicios para liberación de amoniaco/incendio mayor ni coordinación externa.</w:t>
      </w:r>
    </w:p>
    <w:p>
      <w:pPr>
        <w:pStyle w:val="ListBullet"/>
        <w:spacing w:after="40"/>
      </w:pPr>
      <w:r>
        <w:t>Riesgo: Respuesta descoordinada puede aumentar impacto a personas, activos y entorno.</w:t>
      </w:r>
    </w:p>
    <w:p>
      <w:pPr>
        <w:pStyle w:val="ListBullet"/>
        <w:spacing w:after="40"/>
      </w:pPr>
      <w:r>
        <w:t>Acción recomendada: Diseñar y ejecutar simulacro dirigido (tabletop + campo) con 1-2 escenarios mayores; cerrar lecciones aprendidas.</w:t>
      </w:r>
    </w:p>
    <w:p>
      <w:pPr>
        <w:pStyle w:val="ListBullet"/>
        <w:spacing w:after="40"/>
      </w:pPr>
      <w:r>
        <w:t>Dueño / Sponsor: Jefe HSE / Dirección de Planta</w:t>
      </w:r>
    </w:p>
    <w:p>
      <w:pPr>
        <w:pStyle w:val="ListBullet"/>
        <w:spacing w:after="40"/>
      </w:pPr>
      <w:r>
        <w:t>Fecha objetivo: 01-Mar-2026 (Prioridad P0)</w:t>
      </w:r>
    </w:p>
    <w:p>
      <w:pPr>
        <w:pStyle w:val="Heading1"/>
      </w:pPr>
      <w:r>
        <w:t>6. Hallazgos altos y oportunidades de mejora</w:t>
      </w:r>
    </w:p>
    <w:p>
      <w:r>
        <w:t>Hallazgos de severidad alta (P1) que deben cerrarse en 30-120 días para robustecer el sistema y evitar recurrencia.</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pPr>
              <w:spacing w:after="0"/>
            </w:pPr>
            <w:r>
              <w:rPr>
                <w:sz w:val="17"/>
              </w:rPr>
              <w:t>ID</w:t>
            </w:r>
          </w:p>
        </w:tc>
        <w:tc>
          <w:tcPr>
            <w:tcW w:type="dxa" w:w="2436"/>
          </w:tcPr>
          <w:p>
            <w:pPr>
              <w:spacing w:after="0"/>
            </w:pPr>
            <w:r>
              <w:rPr>
                <w:sz w:val="17"/>
              </w:rPr>
              <w:t>Hallazgo (resumen)</w:t>
            </w:r>
          </w:p>
        </w:tc>
        <w:tc>
          <w:tcPr>
            <w:tcW w:type="dxa" w:w="2436"/>
          </w:tcPr>
          <w:p>
            <w:pPr>
              <w:spacing w:after="0"/>
            </w:pPr>
            <w:r>
              <w:rPr>
                <w:sz w:val="17"/>
              </w:rPr>
              <w:t>Elemento</w:t>
            </w:r>
          </w:p>
        </w:tc>
        <w:tc>
          <w:tcPr>
            <w:tcW w:type="dxa" w:w="2436"/>
          </w:tcPr>
          <w:p>
            <w:pPr>
              <w:spacing w:after="0"/>
            </w:pPr>
            <w:r>
              <w:rPr>
                <w:sz w:val="17"/>
              </w:rPr>
              <w:t>Fecha objetivo</w:t>
            </w:r>
          </w:p>
        </w:tc>
      </w:tr>
      <w:tr>
        <w:tc>
          <w:tcPr>
            <w:tcW w:type="dxa" w:w="2436"/>
          </w:tcPr>
          <w:p>
            <w:pPr>
              <w:spacing w:after="0"/>
            </w:pPr>
            <w:r>
              <w:rPr>
                <w:sz w:val="17"/>
              </w:rPr>
              <w:t>A1</w:t>
            </w:r>
          </w:p>
        </w:tc>
        <w:tc>
          <w:tcPr>
            <w:tcW w:type="dxa" w:w="2436"/>
          </w:tcPr>
          <w:p>
            <w:pPr>
              <w:spacing w:after="0"/>
            </w:pPr>
            <w:r>
              <w:rPr>
                <w:sz w:val="17"/>
              </w:rPr>
              <w:t>Matriz de competencias PSM incompleta por rol (operadores, mantenimiento, contratistas)</w:t>
            </w:r>
          </w:p>
        </w:tc>
        <w:tc>
          <w:tcPr>
            <w:tcW w:type="dxa" w:w="2436"/>
          </w:tcPr>
          <w:p>
            <w:pPr>
              <w:spacing w:after="0"/>
            </w:pPr>
            <w:r>
              <w:rPr>
                <w:sz w:val="17"/>
              </w:rPr>
              <w:t>Training</w:t>
            </w:r>
          </w:p>
        </w:tc>
        <w:tc>
          <w:tcPr>
            <w:tcW w:type="dxa" w:w="2436"/>
          </w:tcPr>
          <w:p>
            <w:pPr>
              <w:spacing w:after="0"/>
            </w:pPr>
            <w:r>
              <w:rPr>
                <w:sz w:val="17"/>
              </w:rPr>
              <w:t>15-Apr-2026</w:t>
            </w:r>
          </w:p>
        </w:tc>
      </w:tr>
      <w:tr>
        <w:tc>
          <w:tcPr>
            <w:tcW w:type="dxa" w:w="2436"/>
          </w:tcPr>
          <w:p>
            <w:pPr>
              <w:spacing w:after="0"/>
            </w:pPr>
            <w:r>
              <w:rPr>
                <w:sz w:val="17"/>
              </w:rPr>
              <w:t>A2</w:t>
            </w:r>
          </w:p>
        </w:tc>
        <w:tc>
          <w:tcPr>
            <w:tcW w:type="dxa" w:w="2436"/>
          </w:tcPr>
          <w:p>
            <w:pPr>
              <w:spacing w:after="0"/>
            </w:pPr>
            <w:r>
              <w:rPr>
                <w:sz w:val="17"/>
              </w:rPr>
              <w:t>Gestión de contratistas sin verificación consistente de desempeño PSM/HSE</w:t>
            </w:r>
          </w:p>
        </w:tc>
        <w:tc>
          <w:tcPr>
            <w:tcW w:type="dxa" w:w="2436"/>
          </w:tcPr>
          <w:p>
            <w:pPr>
              <w:spacing w:after="0"/>
            </w:pPr>
            <w:r>
              <w:rPr>
                <w:sz w:val="17"/>
              </w:rPr>
              <w:t>Contractors</w:t>
            </w:r>
          </w:p>
        </w:tc>
        <w:tc>
          <w:tcPr>
            <w:tcW w:type="dxa" w:w="2436"/>
          </w:tcPr>
          <w:p>
            <w:pPr>
              <w:spacing w:after="0"/>
            </w:pPr>
            <w:r>
              <w:rPr>
                <w:sz w:val="17"/>
              </w:rPr>
              <w:t>31-Mar-2026</w:t>
            </w:r>
          </w:p>
        </w:tc>
      </w:tr>
      <w:tr>
        <w:tc>
          <w:tcPr>
            <w:tcW w:type="dxa" w:w="2436"/>
          </w:tcPr>
          <w:p>
            <w:pPr>
              <w:spacing w:after="0"/>
            </w:pPr>
            <w:r>
              <w:rPr>
                <w:sz w:val="17"/>
              </w:rPr>
              <w:t>A3</w:t>
            </w:r>
          </w:p>
        </w:tc>
        <w:tc>
          <w:tcPr>
            <w:tcW w:type="dxa" w:w="2436"/>
          </w:tcPr>
          <w:p>
            <w:pPr>
              <w:spacing w:after="0"/>
            </w:pPr>
            <w:r>
              <w:rPr>
                <w:sz w:val="17"/>
              </w:rPr>
              <w:t>Permisos de trabajo: evidencia documental inconsistente para hot work y energías peligrosas</w:t>
            </w:r>
          </w:p>
        </w:tc>
        <w:tc>
          <w:tcPr>
            <w:tcW w:type="dxa" w:w="2436"/>
          </w:tcPr>
          <w:p>
            <w:pPr>
              <w:spacing w:after="0"/>
            </w:pPr>
            <w:r>
              <w:rPr>
                <w:sz w:val="17"/>
              </w:rPr>
              <w:t>Hot Work / PTW</w:t>
            </w:r>
          </w:p>
        </w:tc>
        <w:tc>
          <w:tcPr>
            <w:tcW w:type="dxa" w:w="2436"/>
          </w:tcPr>
          <w:p>
            <w:pPr>
              <w:spacing w:after="0"/>
            </w:pPr>
            <w:r>
              <w:rPr>
                <w:sz w:val="17"/>
              </w:rPr>
              <w:t>16-Mar-2026</w:t>
            </w:r>
          </w:p>
        </w:tc>
      </w:tr>
      <w:tr>
        <w:tc>
          <w:tcPr>
            <w:tcW w:type="dxa" w:w="2436"/>
          </w:tcPr>
          <w:p>
            <w:pPr>
              <w:spacing w:after="0"/>
            </w:pPr>
            <w:r>
              <w:rPr>
                <w:sz w:val="17"/>
              </w:rPr>
              <w:t>A4</w:t>
            </w:r>
          </w:p>
        </w:tc>
        <w:tc>
          <w:tcPr>
            <w:tcW w:type="dxa" w:w="2436"/>
          </w:tcPr>
          <w:p>
            <w:pPr>
              <w:spacing w:after="0"/>
            </w:pPr>
            <w:r>
              <w:rPr>
                <w:sz w:val="17"/>
              </w:rPr>
              <w:t>Investigación de incidentes y cuasi-incidentes sin RCA estandarizado y verificación de efectividad</w:t>
            </w:r>
          </w:p>
        </w:tc>
        <w:tc>
          <w:tcPr>
            <w:tcW w:type="dxa" w:w="2436"/>
          </w:tcPr>
          <w:p>
            <w:pPr>
              <w:spacing w:after="0"/>
            </w:pPr>
            <w:r>
              <w:rPr>
                <w:sz w:val="17"/>
              </w:rPr>
              <w:t>Incident Investigation</w:t>
            </w:r>
          </w:p>
        </w:tc>
        <w:tc>
          <w:tcPr>
            <w:tcW w:type="dxa" w:w="2436"/>
          </w:tcPr>
          <w:p>
            <w:pPr>
              <w:spacing w:after="0"/>
            </w:pPr>
            <w:r>
              <w:rPr>
                <w:sz w:val="17"/>
              </w:rPr>
              <w:t>15-Apr-2026</w:t>
            </w:r>
          </w:p>
        </w:tc>
      </w:tr>
      <w:tr>
        <w:tc>
          <w:tcPr>
            <w:tcW w:type="dxa" w:w="2436"/>
          </w:tcPr>
          <w:p>
            <w:pPr>
              <w:spacing w:after="0"/>
            </w:pPr>
            <w:r>
              <w:rPr>
                <w:sz w:val="17"/>
              </w:rPr>
              <w:t>A5</w:t>
            </w:r>
          </w:p>
        </w:tc>
        <w:tc>
          <w:tcPr>
            <w:tcW w:type="dxa" w:w="2436"/>
          </w:tcPr>
          <w:p>
            <w:pPr>
              <w:spacing w:after="0"/>
            </w:pPr>
            <w:r>
              <w:rPr>
                <w:sz w:val="17"/>
              </w:rPr>
              <w:t>PSI (P&amp;IDs/as-built) con rezago frente a modificaciones en campo</w:t>
            </w:r>
          </w:p>
        </w:tc>
        <w:tc>
          <w:tcPr>
            <w:tcW w:type="dxa" w:w="2436"/>
          </w:tcPr>
          <w:p>
            <w:pPr>
              <w:spacing w:after="0"/>
            </w:pPr>
            <w:r>
              <w:rPr>
                <w:sz w:val="17"/>
              </w:rPr>
              <w:t>PSI</w:t>
            </w:r>
          </w:p>
        </w:tc>
        <w:tc>
          <w:tcPr>
            <w:tcW w:type="dxa" w:w="2436"/>
          </w:tcPr>
          <w:p>
            <w:pPr>
              <w:spacing w:after="0"/>
            </w:pPr>
            <w:r>
              <w:rPr>
                <w:sz w:val="17"/>
              </w:rPr>
              <w:t>15-May-2026</w:t>
            </w:r>
          </w:p>
        </w:tc>
      </w:tr>
      <w:tr>
        <w:tc>
          <w:tcPr>
            <w:tcW w:type="dxa" w:w="2436"/>
          </w:tcPr>
          <w:p>
            <w:pPr>
              <w:spacing w:after="0"/>
            </w:pPr>
            <w:r>
              <w:rPr>
                <w:sz w:val="17"/>
              </w:rPr>
              <w:t>A6</w:t>
            </w:r>
          </w:p>
        </w:tc>
        <w:tc>
          <w:tcPr>
            <w:tcW w:type="dxa" w:w="2436"/>
          </w:tcPr>
          <w:p>
            <w:pPr>
              <w:spacing w:after="0"/>
            </w:pPr>
            <w:r>
              <w:rPr>
                <w:sz w:val="17"/>
              </w:rPr>
              <w:t>PSSR no aplicado de forma consistente antes de cambios y puestas en marcha</w:t>
            </w:r>
          </w:p>
        </w:tc>
        <w:tc>
          <w:tcPr>
            <w:tcW w:type="dxa" w:w="2436"/>
          </w:tcPr>
          <w:p>
            <w:pPr>
              <w:spacing w:after="0"/>
            </w:pPr>
            <w:r>
              <w:rPr>
                <w:sz w:val="17"/>
              </w:rPr>
              <w:t>PSSR</w:t>
            </w:r>
          </w:p>
        </w:tc>
        <w:tc>
          <w:tcPr>
            <w:tcW w:type="dxa" w:w="2436"/>
          </w:tcPr>
          <w:p>
            <w:pPr>
              <w:spacing w:after="0"/>
            </w:pPr>
            <w:r>
              <w:rPr>
                <w:sz w:val="17"/>
              </w:rPr>
              <w:t>15-Apr-2026</w:t>
            </w:r>
          </w:p>
        </w:tc>
      </w:tr>
      <w:tr>
        <w:tc>
          <w:tcPr>
            <w:tcW w:type="dxa" w:w="2436"/>
          </w:tcPr>
          <w:p>
            <w:pPr>
              <w:spacing w:after="0"/>
            </w:pPr>
            <w:r>
              <w:rPr>
                <w:sz w:val="17"/>
              </w:rPr>
              <w:t>A7</w:t>
            </w:r>
          </w:p>
        </w:tc>
        <w:tc>
          <w:tcPr>
            <w:tcW w:type="dxa" w:w="2436"/>
          </w:tcPr>
          <w:p>
            <w:pPr>
              <w:spacing w:after="0"/>
            </w:pPr>
            <w:r>
              <w:rPr>
                <w:sz w:val="17"/>
              </w:rPr>
              <w:t>Gestión de alarmas sin política de racionalización y sin seguimiento a alarm flood</w:t>
            </w:r>
          </w:p>
        </w:tc>
        <w:tc>
          <w:tcPr>
            <w:tcW w:type="dxa" w:w="2436"/>
          </w:tcPr>
          <w:p>
            <w:pPr>
              <w:spacing w:after="0"/>
            </w:pPr>
            <w:r>
              <w:rPr>
                <w:sz w:val="17"/>
              </w:rPr>
              <w:t>Alarm Management</w:t>
            </w:r>
          </w:p>
        </w:tc>
        <w:tc>
          <w:tcPr>
            <w:tcW w:type="dxa" w:w="2436"/>
          </w:tcPr>
          <w:p>
            <w:pPr>
              <w:spacing w:after="0"/>
            </w:pPr>
            <w:r>
              <w:rPr>
                <w:sz w:val="17"/>
              </w:rPr>
              <w:t>15-May-2026</w:t>
            </w:r>
          </w:p>
        </w:tc>
      </w:tr>
      <w:tr>
        <w:tc>
          <w:tcPr>
            <w:tcW w:type="dxa" w:w="2436"/>
          </w:tcPr>
          <w:p>
            <w:pPr>
              <w:spacing w:after="0"/>
            </w:pPr>
            <w:r>
              <w:rPr>
                <w:sz w:val="17"/>
              </w:rPr>
              <w:t>A8</w:t>
            </w:r>
          </w:p>
        </w:tc>
        <w:tc>
          <w:tcPr>
            <w:tcW w:type="dxa" w:w="2436"/>
          </w:tcPr>
          <w:p>
            <w:pPr>
              <w:spacing w:after="0"/>
            </w:pPr>
            <w:r>
              <w:rPr>
                <w:sz w:val="17"/>
              </w:rPr>
              <w:t>Programa de pruebas de PSV y dispositivos de alivio no priorizado por criticidad</w:t>
            </w:r>
          </w:p>
        </w:tc>
        <w:tc>
          <w:tcPr>
            <w:tcW w:type="dxa" w:w="2436"/>
          </w:tcPr>
          <w:p>
            <w:pPr>
              <w:spacing w:after="0"/>
            </w:pPr>
            <w:r>
              <w:rPr>
                <w:sz w:val="17"/>
              </w:rPr>
              <w:t>Mechanical Integrity</w:t>
            </w:r>
          </w:p>
        </w:tc>
        <w:tc>
          <w:tcPr>
            <w:tcW w:type="dxa" w:w="2436"/>
          </w:tcPr>
          <w:p>
            <w:pPr>
              <w:spacing w:after="0"/>
            </w:pPr>
            <w:r>
              <w:rPr>
                <w:sz w:val="17"/>
              </w:rPr>
              <w:t>15-Apr-2026</w:t>
            </w:r>
          </w:p>
        </w:tc>
      </w:tr>
      <w:tr>
        <w:tc>
          <w:tcPr>
            <w:tcW w:type="dxa" w:w="2436"/>
          </w:tcPr>
          <w:p>
            <w:pPr>
              <w:spacing w:after="0"/>
            </w:pPr>
            <w:r>
              <w:rPr>
                <w:sz w:val="17"/>
              </w:rPr>
              <w:t>A9</w:t>
            </w:r>
          </w:p>
        </w:tc>
        <w:tc>
          <w:tcPr>
            <w:tcW w:type="dxa" w:w="2436"/>
          </w:tcPr>
          <w:p>
            <w:pPr>
              <w:spacing w:after="0"/>
            </w:pPr>
            <w:r>
              <w:rPr>
                <w:sz w:val="17"/>
              </w:rPr>
              <w:t>Gestión de cambios de setpoints y lógica de control sin evaluación formal de riesgo</w:t>
            </w:r>
          </w:p>
        </w:tc>
        <w:tc>
          <w:tcPr>
            <w:tcW w:type="dxa" w:w="2436"/>
          </w:tcPr>
          <w:p>
            <w:pPr>
              <w:spacing w:after="0"/>
            </w:pPr>
            <w:r>
              <w:rPr>
                <w:sz w:val="17"/>
              </w:rPr>
              <w:t>MOC/SIS</w:t>
            </w:r>
          </w:p>
        </w:tc>
        <w:tc>
          <w:tcPr>
            <w:tcW w:type="dxa" w:w="2436"/>
          </w:tcPr>
          <w:p>
            <w:pPr>
              <w:spacing w:after="0"/>
            </w:pPr>
            <w:r>
              <w:rPr>
                <w:sz w:val="17"/>
              </w:rPr>
              <w:t>16-Mar-2026</w:t>
            </w:r>
          </w:p>
        </w:tc>
      </w:tr>
      <w:tr>
        <w:tc>
          <w:tcPr>
            <w:tcW w:type="dxa" w:w="2436"/>
          </w:tcPr>
          <w:p>
            <w:pPr>
              <w:spacing w:after="0"/>
            </w:pPr>
            <w:r>
              <w:rPr>
                <w:sz w:val="17"/>
              </w:rPr>
              <w:t>A10</w:t>
            </w:r>
          </w:p>
        </w:tc>
        <w:tc>
          <w:tcPr>
            <w:tcW w:type="dxa" w:w="2436"/>
          </w:tcPr>
          <w:p>
            <w:pPr>
              <w:spacing w:after="0"/>
            </w:pPr>
            <w:r>
              <w:rPr>
                <w:sz w:val="17"/>
              </w:rPr>
              <w:t>Auditorías internas PSM: profundidad variable y plan de cierre sin trazabilidad completa</w:t>
            </w:r>
          </w:p>
        </w:tc>
        <w:tc>
          <w:tcPr>
            <w:tcW w:type="dxa" w:w="2436"/>
          </w:tcPr>
          <w:p>
            <w:pPr>
              <w:spacing w:after="0"/>
            </w:pPr>
            <w:r>
              <w:rPr>
                <w:sz w:val="17"/>
              </w:rPr>
              <w:t>Compliance Audits</w:t>
            </w:r>
          </w:p>
        </w:tc>
        <w:tc>
          <w:tcPr>
            <w:tcW w:type="dxa" w:w="2436"/>
          </w:tcPr>
          <w:p>
            <w:pPr>
              <w:spacing w:after="0"/>
            </w:pPr>
            <w:r>
              <w:rPr>
                <w:sz w:val="17"/>
              </w:rPr>
              <w:t>15-May-2026</w:t>
            </w:r>
          </w:p>
        </w:tc>
      </w:tr>
    </w:tbl>
    <w:p/>
    <w:p>
      <w:r>
        <w:t>Principales temas recurrentes (P1):</w:t>
      </w:r>
    </w:p>
    <w:p>
      <w:pPr>
        <w:pStyle w:val="ListBullet"/>
        <w:spacing w:after="40"/>
      </w:pPr>
      <w:r>
        <w:t>Competencias y entrenamiento por rol (operación, mantenimiento y contratistas).</w:t>
      </w:r>
    </w:p>
    <w:p>
      <w:pPr>
        <w:pStyle w:val="ListBullet"/>
        <w:spacing w:after="40"/>
      </w:pPr>
      <w:r>
        <w:t>Permisos de trabajo y disciplina de bloqueo/etiquetado.</w:t>
      </w:r>
    </w:p>
    <w:p>
      <w:pPr>
        <w:pStyle w:val="ListBullet"/>
        <w:spacing w:after="40"/>
      </w:pPr>
      <w:r>
        <w:t>Gestión documental (PSI) y PSSR antes de puestas en marcha.</w:t>
      </w:r>
    </w:p>
    <w:p>
      <w:pPr>
        <w:pStyle w:val="ListBullet"/>
        <w:spacing w:after="40"/>
      </w:pPr>
      <w:r>
        <w:t>Gestión de alarmas y control de cambios en setpoints/lógica.</w:t>
      </w:r>
    </w:p>
    <w:p>
      <w:pPr>
        <w:pStyle w:val="Heading1"/>
      </w:pPr>
      <w:r>
        <w:t>7. Plan de acción (0-180 días)</w:t>
      </w:r>
    </w:p>
    <w:p>
      <w:pPr>
        <w:pStyle w:val="Heading2"/>
      </w:pPr>
      <w:r>
        <w:t>7.1 Enfoque por olas</w:t>
      </w:r>
    </w:p>
    <w:p>
      <w:pPr>
        <w:pStyle w:val="ListBullet"/>
        <w:spacing w:after="40"/>
      </w:pPr>
      <w:r>
        <w:t>Ola 1 (0-30 días): contención de P0, recuperación de barreras críticas y control estricto de cambios.</w:t>
      </w:r>
    </w:p>
    <w:p>
      <w:pPr>
        <w:pStyle w:val="ListBullet"/>
        <w:spacing w:after="40"/>
      </w:pPr>
      <w:r>
        <w:t>Ola 2 (31-90 días): corrección estructural (PHA/LOPA, MOC, MI, procedimientos con límites críticos, PSSR).</w:t>
      </w:r>
    </w:p>
    <w:p>
      <w:pPr>
        <w:pStyle w:val="ListBullet"/>
        <w:spacing w:after="40"/>
      </w:pPr>
      <w:r>
        <w:t>Ola 3 (91-180 días): sostenibilidad (indicadores, auditoría interna, competencias y digitalización selectiva).</w:t>
      </w:r>
    </w:p>
    <w:p>
      <w:pPr>
        <w:pStyle w:val="Heading2"/>
      </w:pPr>
      <w:r>
        <w:t>7.2 Tabla ejecutiva de acciones prioritarias</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tcPr>
          <w:p>
            <w:pPr>
              <w:spacing w:after="0"/>
            </w:pPr>
            <w:r>
              <w:rPr>
                <w:sz w:val="17"/>
              </w:rPr>
              <w:t>Prioridad</w:t>
            </w:r>
          </w:p>
        </w:tc>
        <w:tc>
          <w:tcPr>
            <w:tcW w:type="dxa" w:w="1949"/>
          </w:tcPr>
          <w:p>
            <w:pPr>
              <w:spacing w:after="0"/>
            </w:pPr>
            <w:r>
              <w:rPr>
                <w:sz w:val="17"/>
              </w:rPr>
              <w:t>Acción</w:t>
            </w:r>
          </w:p>
        </w:tc>
        <w:tc>
          <w:tcPr>
            <w:tcW w:type="dxa" w:w="1949"/>
          </w:tcPr>
          <w:p>
            <w:pPr>
              <w:spacing w:after="0"/>
            </w:pPr>
            <w:r>
              <w:rPr>
                <w:sz w:val="17"/>
              </w:rPr>
              <w:t>Dueño</w:t>
            </w:r>
          </w:p>
        </w:tc>
        <w:tc>
          <w:tcPr>
            <w:tcW w:type="dxa" w:w="1949"/>
          </w:tcPr>
          <w:p>
            <w:pPr>
              <w:spacing w:after="0"/>
            </w:pPr>
            <w:r>
              <w:rPr>
                <w:sz w:val="17"/>
              </w:rPr>
              <w:t>Plazo</w:t>
            </w:r>
          </w:p>
        </w:tc>
        <w:tc>
          <w:tcPr>
            <w:tcW w:type="dxa" w:w="1949"/>
          </w:tcPr>
          <w:p>
            <w:pPr>
              <w:spacing w:after="0"/>
            </w:pPr>
            <w:r>
              <w:rPr>
                <w:sz w:val="17"/>
              </w:rPr>
              <w:t>Evidencia de cierre</w:t>
            </w:r>
          </w:p>
        </w:tc>
      </w:tr>
      <w:tr>
        <w:tc>
          <w:tcPr>
            <w:tcW w:type="dxa" w:w="1949"/>
          </w:tcPr>
          <w:p>
            <w:pPr>
              <w:spacing w:after="0"/>
            </w:pPr>
            <w:r>
              <w:rPr>
                <w:sz w:val="17"/>
              </w:rPr>
              <w:t>P0</w:t>
            </w:r>
          </w:p>
        </w:tc>
        <w:tc>
          <w:tcPr>
            <w:tcW w:type="dxa" w:w="1949"/>
          </w:tcPr>
          <w:p>
            <w:pPr>
              <w:spacing w:after="0"/>
            </w:pPr>
            <w:r>
              <w:rPr>
                <w:sz w:val="17"/>
              </w:rPr>
              <w:t>Revalidación PHA en unidades críticas + plan de cierre de recomendaciones</w:t>
            </w:r>
          </w:p>
        </w:tc>
        <w:tc>
          <w:tcPr>
            <w:tcW w:type="dxa" w:w="1949"/>
          </w:tcPr>
          <w:p>
            <w:pPr>
              <w:spacing w:after="0"/>
            </w:pPr>
            <w:r>
              <w:rPr>
                <w:sz w:val="17"/>
              </w:rPr>
              <w:t>Gerencia de Ingeniería</w:t>
            </w:r>
          </w:p>
        </w:tc>
        <w:tc>
          <w:tcPr>
            <w:tcW w:type="dxa" w:w="1949"/>
          </w:tcPr>
          <w:p>
            <w:pPr>
              <w:spacing w:after="0"/>
            </w:pPr>
            <w:r>
              <w:rPr>
                <w:sz w:val="17"/>
              </w:rPr>
              <w:t>60 días</w:t>
            </w:r>
          </w:p>
        </w:tc>
        <w:tc>
          <w:tcPr>
            <w:tcW w:type="dxa" w:w="1949"/>
          </w:tcPr>
          <w:p>
            <w:pPr>
              <w:spacing w:after="0"/>
            </w:pPr>
            <w:r>
              <w:rPr>
                <w:sz w:val="17"/>
              </w:rPr>
              <w:t>Reporte PHA + registro de cierres verificados</w:t>
            </w:r>
          </w:p>
        </w:tc>
      </w:tr>
      <w:tr>
        <w:tc>
          <w:tcPr>
            <w:tcW w:type="dxa" w:w="1949"/>
          </w:tcPr>
          <w:p>
            <w:pPr>
              <w:spacing w:after="0"/>
            </w:pPr>
            <w:r>
              <w:rPr>
                <w:sz w:val="17"/>
              </w:rPr>
              <w:t>P0</w:t>
            </w:r>
          </w:p>
        </w:tc>
        <w:tc>
          <w:tcPr>
            <w:tcW w:type="dxa" w:w="1949"/>
          </w:tcPr>
          <w:p>
            <w:pPr>
              <w:spacing w:after="0"/>
            </w:pPr>
            <w:r>
              <w:rPr>
                <w:sz w:val="17"/>
              </w:rPr>
              <w:t>Recuperar backlog de MI en equipos críticos (PSV, recipientes, lazos críticos)</w:t>
            </w:r>
          </w:p>
        </w:tc>
        <w:tc>
          <w:tcPr>
            <w:tcW w:type="dxa" w:w="1949"/>
          </w:tcPr>
          <w:p>
            <w:pPr>
              <w:spacing w:after="0"/>
            </w:pPr>
            <w:r>
              <w:rPr>
                <w:sz w:val="17"/>
              </w:rPr>
              <w:t>Jefe de Mantenimiento</w:t>
            </w:r>
          </w:p>
        </w:tc>
        <w:tc>
          <w:tcPr>
            <w:tcW w:type="dxa" w:w="1949"/>
          </w:tcPr>
          <w:p>
            <w:pPr>
              <w:spacing w:after="0"/>
            </w:pPr>
            <w:r>
              <w:rPr>
                <w:sz w:val="17"/>
              </w:rPr>
              <w:t>30 días</w:t>
            </w:r>
          </w:p>
        </w:tc>
        <w:tc>
          <w:tcPr>
            <w:tcW w:type="dxa" w:w="1949"/>
          </w:tcPr>
          <w:p>
            <w:pPr>
              <w:spacing w:after="0"/>
            </w:pPr>
            <w:r>
              <w:rPr>
                <w:sz w:val="17"/>
              </w:rPr>
              <w:t>Certificados / registros CMMS actualizados</w:t>
            </w:r>
          </w:p>
        </w:tc>
      </w:tr>
      <w:tr>
        <w:tc>
          <w:tcPr>
            <w:tcW w:type="dxa" w:w="1949"/>
          </w:tcPr>
          <w:p>
            <w:pPr>
              <w:spacing w:after="0"/>
            </w:pPr>
            <w:r>
              <w:rPr>
                <w:sz w:val="17"/>
              </w:rPr>
              <w:t>P0</w:t>
            </w:r>
          </w:p>
        </w:tc>
        <w:tc>
          <w:tcPr>
            <w:tcW w:type="dxa" w:w="1949"/>
          </w:tcPr>
          <w:p>
            <w:pPr>
              <w:spacing w:after="0"/>
            </w:pPr>
            <w:r>
              <w:rPr>
                <w:sz w:val="17"/>
              </w:rPr>
              <w:t>Registro y control de bypass/overrides con expiración obligatoria</w:t>
            </w:r>
          </w:p>
        </w:tc>
        <w:tc>
          <w:tcPr>
            <w:tcW w:type="dxa" w:w="1949"/>
          </w:tcPr>
          <w:p>
            <w:pPr>
              <w:spacing w:after="0"/>
            </w:pPr>
            <w:r>
              <w:rPr>
                <w:sz w:val="17"/>
              </w:rPr>
              <w:t>Líder de Control e Instrumentación</w:t>
            </w:r>
          </w:p>
        </w:tc>
        <w:tc>
          <w:tcPr>
            <w:tcW w:type="dxa" w:w="1949"/>
          </w:tcPr>
          <w:p>
            <w:pPr>
              <w:spacing w:after="0"/>
            </w:pPr>
            <w:r>
              <w:rPr>
                <w:sz w:val="17"/>
              </w:rPr>
              <w:t>14 días</w:t>
            </w:r>
          </w:p>
        </w:tc>
        <w:tc>
          <w:tcPr>
            <w:tcW w:type="dxa" w:w="1949"/>
          </w:tcPr>
          <w:p>
            <w:pPr>
              <w:spacing w:after="0"/>
            </w:pPr>
            <w:r>
              <w:rPr>
                <w:sz w:val="17"/>
              </w:rPr>
              <w:t>Bitácora y auditoría semanal</w:t>
            </w:r>
          </w:p>
        </w:tc>
      </w:tr>
      <w:tr>
        <w:tc>
          <w:tcPr>
            <w:tcW w:type="dxa" w:w="1949"/>
          </w:tcPr>
          <w:p>
            <w:pPr>
              <w:spacing w:after="0"/>
            </w:pPr>
            <w:r>
              <w:rPr>
                <w:sz w:val="17"/>
              </w:rPr>
              <w:t>P1</w:t>
            </w:r>
          </w:p>
        </w:tc>
        <w:tc>
          <w:tcPr>
            <w:tcW w:type="dxa" w:w="1949"/>
          </w:tcPr>
          <w:p>
            <w:pPr>
              <w:spacing w:after="0"/>
            </w:pPr>
            <w:r>
              <w:rPr>
                <w:sz w:val="17"/>
              </w:rPr>
              <w:t>Actualizar SOPs con límites críticos y respuesta a desviaciones + checkride</w:t>
            </w:r>
          </w:p>
        </w:tc>
        <w:tc>
          <w:tcPr>
            <w:tcW w:type="dxa" w:w="1949"/>
          </w:tcPr>
          <w:p>
            <w:pPr>
              <w:spacing w:after="0"/>
            </w:pPr>
            <w:r>
              <w:rPr>
                <w:sz w:val="17"/>
              </w:rPr>
              <w:t>Superintendencia de Operaciones</w:t>
            </w:r>
          </w:p>
        </w:tc>
        <w:tc>
          <w:tcPr>
            <w:tcW w:type="dxa" w:w="1949"/>
          </w:tcPr>
          <w:p>
            <w:pPr>
              <w:spacing w:after="0"/>
            </w:pPr>
            <w:r>
              <w:rPr>
                <w:sz w:val="17"/>
              </w:rPr>
              <w:t>60 días</w:t>
            </w:r>
          </w:p>
        </w:tc>
        <w:tc>
          <w:tcPr>
            <w:tcW w:type="dxa" w:w="1949"/>
          </w:tcPr>
          <w:p>
            <w:pPr>
              <w:spacing w:after="0"/>
            </w:pPr>
            <w:r>
              <w:rPr>
                <w:sz w:val="17"/>
              </w:rPr>
              <w:t>SOPs + evidencia de evaluación</w:t>
            </w:r>
          </w:p>
        </w:tc>
      </w:tr>
      <w:tr>
        <w:tc>
          <w:tcPr>
            <w:tcW w:type="dxa" w:w="1949"/>
          </w:tcPr>
          <w:p>
            <w:pPr>
              <w:spacing w:after="0"/>
            </w:pPr>
            <w:r>
              <w:rPr>
                <w:sz w:val="17"/>
              </w:rPr>
              <w:t>P1</w:t>
            </w:r>
          </w:p>
        </w:tc>
        <w:tc>
          <w:tcPr>
            <w:tcW w:type="dxa" w:w="1949"/>
          </w:tcPr>
          <w:p>
            <w:pPr>
              <w:spacing w:after="0"/>
            </w:pPr>
            <w:r>
              <w:rPr>
                <w:sz w:val="17"/>
              </w:rPr>
              <w:t>Estandarizar PTW/LOTO con auditoría semanal y KPI</w:t>
            </w:r>
          </w:p>
        </w:tc>
        <w:tc>
          <w:tcPr>
            <w:tcW w:type="dxa" w:w="1949"/>
          </w:tcPr>
          <w:p>
            <w:pPr>
              <w:spacing w:after="0"/>
            </w:pPr>
            <w:r>
              <w:rPr>
                <w:sz w:val="17"/>
              </w:rPr>
              <w:t>Mantenimiento + HSE</w:t>
            </w:r>
          </w:p>
        </w:tc>
        <w:tc>
          <w:tcPr>
            <w:tcW w:type="dxa" w:w="1949"/>
          </w:tcPr>
          <w:p>
            <w:pPr>
              <w:spacing w:after="0"/>
            </w:pPr>
            <w:r>
              <w:rPr>
                <w:sz w:val="17"/>
              </w:rPr>
              <w:t>60 días</w:t>
            </w:r>
          </w:p>
        </w:tc>
        <w:tc>
          <w:tcPr>
            <w:tcW w:type="dxa" w:w="1949"/>
          </w:tcPr>
          <w:p>
            <w:pPr>
              <w:spacing w:after="0"/>
            </w:pPr>
            <w:r>
              <w:rPr>
                <w:sz w:val="17"/>
              </w:rPr>
              <w:t>Muestreos y % cumplimiento</w:t>
            </w:r>
          </w:p>
        </w:tc>
      </w:tr>
      <w:tr>
        <w:tc>
          <w:tcPr>
            <w:tcW w:type="dxa" w:w="1949"/>
          </w:tcPr>
          <w:p>
            <w:pPr>
              <w:spacing w:after="0"/>
            </w:pPr>
            <w:r>
              <w:rPr>
                <w:sz w:val="17"/>
              </w:rPr>
              <w:t>P1</w:t>
            </w:r>
          </w:p>
        </w:tc>
        <w:tc>
          <w:tcPr>
            <w:tcW w:type="dxa" w:w="1949"/>
          </w:tcPr>
          <w:p>
            <w:pPr>
              <w:spacing w:after="0"/>
            </w:pPr>
            <w:r>
              <w:rPr>
                <w:sz w:val="17"/>
              </w:rPr>
              <w:t>Simulacro de escenario mayor (amoniaco/incendio) + cierre de lecciones</w:t>
            </w:r>
          </w:p>
        </w:tc>
        <w:tc>
          <w:tcPr>
            <w:tcW w:type="dxa" w:w="1949"/>
          </w:tcPr>
          <w:p>
            <w:pPr>
              <w:spacing w:after="0"/>
            </w:pPr>
            <w:r>
              <w:rPr>
                <w:sz w:val="17"/>
              </w:rPr>
              <w:t>Jefe HSE</w:t>
            </w:r>
          </w:p>
        </w:tc>
        <w:tc>
          <w:tcPr>
            <w:tcW w:type="dxa" w:w="1949"/>
          </w:tcPr>
          <w:p>
            <w:pPr>
              <w:spacing w:after="0"/>
            </w:pPr>
            <w:r>
              <w:rPr>
                <w:sz w:val="17"/>
              </w:rPr>
              <w:t>45 días</w:t>
            </w:r>
          </w:p>
        </w:tc>
        <w:tc>
          <w:tcPr>
            <w:tcW w:type="dxa" w:w="1949"/>
          </w:tcPr>
          <w:p>
            <w:pPr>
              <w:spacing w:after="0"/>
            </w:pPr>
            <w:r>
              <w:rPr>
                <w:sz w:val="17"/>
              </w:rPr>
              <w:t>Reporte y acciones cerradas</w:t>
            </w:r>
          </w:p>
        </w:tc>
      </w:tr>
      <w:tr>
        <w:tc>
          <w:tcPr>
            <w:tcW w:type="dxa" w:w="1949"/>
          </w:tcPr>
          <w:p>
            <w:pPr>
              <w:spacing w:after="0"/>
            </w:pPr>
            <w:r>
              <w:rPr>
                <w:sz w:val="17"/>
              </w:rPr>
              <w:t>P2</w:t>
            </w:r>
          </w:p>
        </w:tc>
        <w:tc>
          <w:tcPr>
            <w:tcW w:type="dxa" w:w="1949"/>
          </w:tcPr>
          <w:p>
            <w:pPr>
              <w:spacing w:after="0"/>
            </w:pPr>
            <w:r>
              <w:rPr>
                <w:sz w:val="17"/>
              </w:rPr>
              <w:t>Tablero PSM (líderes/rezagados) y comité mensual de revisión</w:t>
            </w:r>
          </w:p>
        </w:tc>
        <w:tc>
          <w:tcPr>
            <w:tcW w:type="dxa" w:w="1949"/>
          </w:tcPr>
          <w:p>
            <w:pPr>
              <w:spacing w:after="0"/>
            </w:pPr>
            <w:r>
              <w:rPr>
                <w:sz w:val="17"/>
              </w:rPr>
              <w:t>Dirección de Planta</w:t>
            </w:r>
          </w:p>
        </w:tc>
        <w:tc>
          <w:tcPr>
            <w:tcW w:type="dxa" w:w="1949"/>
          </w:tcPr>
          <w:p>
            <w:pPr>
              <w:spacing w:after="0"/>
            </w:pPr>
            <w:r>
              <w:rPr>
                <w:sz w:val="17"/>
              </w:rPr>
              <w:t>90 días</w:t>
            </w:r>
          </w:p>
        </w:tc>
        <w:tc>
          <w:tcPr>
            <w:tcW w:type="dxa" w:w="1949"/>
          </w:tcPr>
          <w:p>
            <w:pPr>
              <w:spacing w:after="0"/>
            </w:pPr>
            <w:r>
              <w:rPr>
                <w:sz w:val="17"/>
              </w:rPr>
              <w:t>Dashboard + actas de comité</w:t>
            </w:r>
          </w:p>
        </w:tc>
      </w:tr>
    </w:tbl>
    <w:p>
      <w:pPr>
        <w:pStyle w:val="Heading1"/>
      </w:pPr>
      <w:r>
        <w:t>8. Indicadores recomendados</w:t>
      </w:r>
    </w:p>
    <w:p>
      <w:pPr>
        <w:pStyle w:val="Heading2"/>
      </w:pPr>
      <w:r>
        <w:t>8.1 Indicadores líderes (preventivos)</w:t>
      </w:r>
    </w:p>
    <w:p>
      <w:pPr>
        <w:pStyle w:val="ListBullet"/>
        <w:spacing w:after="40"/>
      </w:pPr>
      <w:r>
        <w:t>% PHA revalidado a tiempo (meta &gt;= 95%).</w:t>
      </w:r>
    </w:p>
    <w:p>
      <w:pPr>
        <w:pStyle w:val="ListBullet"/>
        <w:spacing w:after="40"/>
      </w:pPr>
      <w:r>
        <w:t>% acciones PHA cerradas con verificación de efectividad (meta &gt;= 90%).</w:t>
      </w:r>
    </w:p>
    <w:p>
      <w:pPr>
        <w:pStyle w:val="ListBullet"/>
        <w:spacing w:after="40"/>
      </w:pPr>
      <w:r>
        <w:t>Backlog MI crítico: equipos clase A vencidos (meta = 0).</w:t>
      </w:r>
    </w:p>
    <w:p>
      <w:pPr>
        <w:pStyle w:val="ListBullet"/>
        <w:spacing w:after="40"/>
      </w:pPr>
      <w:r>
        <w:t>Bypass/overrides activos &gt; 7 días (meta = 0).</w:t>
      </w:r>
    </w:p>
    <w:p>
      <w:pPr>
        <w:pStyle w:val="ListBullet"/>
        <w:spacing w:after="40"/>
      </w:pPr>
      <w:r>
        <w:t>% cumplimiento PTW/LOTO en auditorías (meta &gt;= 95%).</w:t>
      </w:r>
    </w:p>
    <w:p>
      <w:pPr>
        <w:pStyle w:val="ListBullet"/>
        <w:spacing w:after="40"/>
      </w:pPr>
      <w:r>
        <w:t>% capacitación PSM por rol completada (meta &gt;= 98%).</w:t>
      </w:r>
    </w:p>
    <w:p>
      <w:pPr>
        <w:pStyle w:val="Heading2"/>
      </w:pPr>
      <w:r>
        <w:t>8.2 Indicadores rezagados (resultado)</w:t>
      </w:r>
    </w:p>
    <w:p>
      <w:pPr>
        <w:pStyle w:val="ListBullet"/>
        <w:spacing w:after="40"/>
      </w:pPr>
      <w:r>
        <w:t>Eventos de pérdida de contención (LOPC) por severidad y frecuencia.</w:t>
      </w:r>
    </w:p>
    <w:p>
      <w:pPr>
        <w:pStyle w:val="ListBullet"/>
        <w:spacing w:after="40"/>
      </w:pPr>
      <w:r>
        <w:t>Incidentes con paro no planificado atribuibles a condiciones de integridad mecánica o operación fuera de límites.</w:t>
      </w:r>
    </w:p>
    <w:p>
      <w:pPr>
        <w:pStyle w:val="ListBullet"/>
        <w:spacing w:after="40"/>
      </w:pPr>
      <w:r>
        <w:t>Repetición de incidentes (misma causa) en 90 días.</w:t>
      </w:r>
    </w:p>
    <w:p>
      <w:pPr>
        <w:pStyle w:val="Heading1"/>
      </w:pPr>
      <w:r>
        <w:t>9. Recomendaciones y decisiones solicitadas</w:t>
      </w:r>
    </w:p>
    <w:p>
      <w:pPr>
        <w:pStyle w:val="ListBullet"/>
        <w:spacing w:after="40"/>
      </w:pPr>
      <w:r>
        <w:t>Aprobar e impulsar el plan P0 con autoridad para detener operación fuera de límites seguros.</w:t>
      </w:r>
    </w:p>
    <w:p>
      <w:pPr>
        <w:pStyle w:val="ListBullet"/>
        <w:spacing w:after="40"/>
      </w:pPr>
      <w:r>
        <w:t>Asignar recursos de ingeniería de procesos, instrumentación e integridad mecánica para recuperar barreras críticas en 30-90 días.</w:t>
      </w:r>
    </w:p>
    <w:p>
      <w:pPr>
        <w:pStyle w:val="ListBullet"/>
        <w:spacing w:after="40"/>
      </w:pPr>
      <w:r>
        <w:t>Instalar gobernanza semanal de barreras críticas (P0) y comité mensual PSM con revisión de indicadores y bloqueos.</w:t>
      </w:r>
    </w:p>
    <w:p>
      <w:pPr>
        <w:pStyle w:val="ListBullet"/>
        <w:spacing w:after="40"/>
      </w:pPr>
      <w:r>
        <w:t>Asegurar verificación de efectividad (no solo cierre administrativo) para acciones P0/P1.</w:t>
      </w:r>
    </w:p>
    <w:p>
      <w:r>
        <w:br w:type="page"/>
      </w:r>
    </w:p>
    <w:p>
      <w:pPr>
        <w:pStyle w:val="Heading1"/>
      </w:pPr>
      <w:r>
        <w:t>Anexo A. Registro consolidado de hallazgos (simulado)</w:t>
      </w:r>
    </w:p>
    <w:p>
      <w:r>
        <w:t>Tabla completa de hallazgos con evidencia resumida, riesgo, recomendación y responsables. (Datos simulados)</w:t>
      </w:r>
    </w:p>
    <w:tbl>
      <w:tblPr>
        <w:tblStyle w:val="TableGrid"/>
        <w:tblW w:type="auto" w:w="0"/>
        <w:tblLook w:firstColumn="1" w:firstRow="1" w:lastColumn="0" w:lastRow="0" w:noHBand="0" w:noVBand="1" w:val="04A0"/>
      </w:tblPr>
      <w:tblGrid>
        <w:gridCol w:w="1624"/>
        <w:gridCol w:w="1624"/>
        <w:gridCol w:w="1624"/>
        <w:gridCol w:w="1624"/>
        <w:gridCol w:w="1624"/>
        <w:gridCol w:w="1624"/>
      </w:tblGrid>
      <w:tr>
        <w:tc>
          <w:tcPr>
            <w:tcW w:type="dxa" w:w="1624"/>
          </w:tcPr>
          <w:p>
            <w:pPr>
              <w:spacing w:after="0"/>
            </w:pPr>
            <w:r>
              <w:rPr>
                <w:sz w:val="15"/>
              </w:rPr>
              <w:t>ID</w:t>
            </w:r>
          </w:p>
        </w:tc>
        <w:tc>
          <w:tcPr>
            <w:tcW w:type="dxa" w:w="1624"/>
          </w:tcPr>
          <w:p>
            <w:pPr>
              <w:spacing w:after="0"/>
            </w:pPr>
            <w:r>
              <w:rPr>
                <w:sz w:val="15"/>
              </w:rPr>
              <w:t>Hallazgo</w:t>
            </w:r>
          </w:p>
        </w:tc>
        <w:tc>
          <w:tcPr>
            <w:tcW w:type="dxa" w:w="1624"/>
          </w:tcPr>
          <w:p>
            <w:pPr>
              <w:spacing w:after="0"/>
            </w:pPr>
            <w:r>
              <w:rPr>
                <w:sz w:val="15"/>
              </w:rPr>
              <w:t>Elemento</w:t>
            </w:r>
          </w:p>
        </w:tc>
        <w:tc>
          <w:tcPr>
            <w:tcW w:type="dxa" w:w="1624"/>
          </w:tcPr>
          <w:p>
            <w:pPr>
              <w:spacing w:after="0"/>
            </w:pPr>
            <w:r>
              <w:rPr>
                <w:sz w:val="15"/>
              </w:rPr>
              <w:t>Riesgo (resumen)</w:t>
            </w:r>
          </w:p>
        </w:tc>
        <w:tc>
          <w:tcPr>
            <w:tcW w:type="dxa" w:w="1624"/>
          </w:tcPr>
          <w:p>
            <w:pPr>
              <w:spacing w:after="0"/>
            </w:pPr>
            <w:r>
              <w:rPr>
                <w:sz w:val="15"/>
              </w:rPr>
              <w:t>Dueño</w:t>
            </w:r>
          </w:p>
        </w:tc>
        <w:tc>
          <w:tcPr>
            <w:tcW w:type="dxa" w:w="1624"/>
          </w:tcPr>
          <w:p>
            <w:pPr>
              <w:spacing w:after="0"/>
            </w:pPr>
            <w:r>
              <w:rPr>
                <w:sz w:val="15"/>
              </w:rPr>
              <w:t>Fecha</w:t>
            </w:r>
          </w:p>
        </w:tc>
      </w:tr>
      <w:tr>
        <w:tc>
          <w:tcPr>
            <w:tcW w:type="dxa" w:w="1624"/>
          </w:tcPr>
          <w:p>
            <w:pPr>
              <w:spacing w:after="0"/>
            </w:pPr>
            <w:r>
              <w:rPr>
                <w:sz w:val="15"/>
              </w:rPr>
              <w:t>C1</w:t>
            </w:r>
          </w:p>
        </w:tc>
        <w:tc>
          <w:tcPr>
            <w:tcW w:type="dxa" w:w="1624"/>
          </w:tcPr>
          <w:p>
            <w:pPr>
              <w:spacing w:after="0"/>
            </w:pPr>
            <w:r>
              <w:rPr>
                <w:sz w:val="15"/>
              </w:rPr>
              <w:t>Revalidación PHA vencida y sin actualización frente a cambios operativos recientes</w:t>
            </w:r>
          </w:p>
        </w:tc>
        <w:tc>
          <w:tcPr>
            <w:tcW w:type="dxa" w:w="1624"/>
          </w:tcPr>
          <w:p>
            <w:pPr>
              <w:spacing w:after="0"/>
            </w:pPr>
            <w:r>
              <w:rPr>
                <w:sz w:val="15"/>
              </w:rPr>
              <w:t>PHA</w:t>
            </w:r>
          </w:p>
        </w:tc>
        <w:tc>
          <w:tcPr>
            <w:tcW w:type="dxa" w:w="1624"/>
          </w:tcPr>
          <w:p>
            <w:pPr>
              <w:spacing w:after="0"/>
            </w:pPr>
            <w:r>
              <w:rPr>
                <w:sz w:val="15"/>
              </w:rPr>
              <w:t>Escenarios de sobrepresión y liberación de combustible/amoniaco pueden no estar cubiertos; barreras insuficientes.</w:t>
            </w:r>
          </w:p>
        </w:tc>
        <w:tc>
          <w:tcPr>
            <w:tcW w:type="dxa" w:w="1624"/>
          </w:tcPr>
          <w:p>
            <w:pPr>
              <w:spacing w:after="0"/>
            </w:pPr>
            <w:r>
              <w:rPr>
                <w:sz w:val="15"/>
              </w:rPr>
              <w:t>Gerencia de Ingeniería</w:t>
            </w:r>
          </w:p>
        </w:tc>
        <w:tc>
          <w:tcPr>
            <w:tcW w:type="dxa" w:w="1624"/>
          </w:tcPr>
          <w:p>
            <w:pPr>
              <w:spacing w:after="0"/>
            </w:pPr>
            <w:r>
              <w:rPr>
                <w:sz w:val="15"/>
              </w:rPr>
              <w:t>01-Mar-2026</w:t>
            </w:r>
          </w:p>
        </w:tc>
      </w:tr>
      <w:tr>
        <w:tc>
          <w:tcPr>
            <w:tcW w:type="dxa" w:w="1624"/>
          </w:tcPr>
          <w:p>
            <w:pPr>
              <w:spacing w:after="0"/>
            </w:pPr>
            <w:r>
              <w:rPr>
                <w:sz w:val="15"/>
              </w:rPr>
              <w:t>C2</w:t>
            </w:r>
          </w:p>
        </w:tc>
        <w:tc>
          <w:tcPr>
            <w:tcW w:type="dxa" w:w="1624"/>
          </w:tcPr>
          <w:p>
            <w:pPr>
              <w:spacing w:after="0"/>
            </w:pPr>
            <w:r>
              <w:rPr>
                <w:sz w:val="15"/>
              </w:rPr>
              <w:t>Backlog de inspecciones y pruebas de integridad mecánica en equipos de contención primaria</w:t>
            </w:r>
          </w:p>
        </w:tc>
        <w:tc>
          <w:tcPr>
            <w:tcW w:type="dxa" w:w="1624"/>
          </w:tcPr>
          <w:p>
            <w:pPr>
              <w:spacing w:after="0"/>
            </w:pPr>
            <w:r>
              <w:rPr>
                <w:sz w:val="15"/>
              </w:rPr>
              <w:t>Mechanical Integrity</w:t>
            </w:r>
          </w:p>
        </w:tc>
        <w:tc>
          <w:tcPr>
            <w:tcW w:type="dxa" w:w="1624"/>
          </w:tcPr>
          <w:p>
            <w:pPr>
              <w:spacing w:after="0"/>
            </w:pPr>
            <w:r>
              <w:rPr>
                <w:sz w:val="15"/>
              </w:rPr>
              <w:t>Falla súbita de equipo presurizado/PSV fuera de calibración puede causar LOPC e ignición.</w:t>
            </w:r>
          </w:p>
        </w:tc>
        <w:tc>
          <w:tcPr>
            <w:tcW w:type="dxa" w:w="1624"/>
          </w:tcPr>
          <w:p>
            <w:pPr>
              <w:spacing w:after="0"/>
            </w:pPr>
            <w:r>
              <w:rPr>
                <w:sz w:val="15"/>
              </w:rPr>
              <w:t>Jefe de Mantenimiento</w:t>
            </w:r>
          </w:p>
        </w:tc>
        <w:tc>
          <w:tcPr>
            <w:tcW w:type="dxa" w:w="1624"/>
          </w:tcPr>
          <w:p>
            <w:pPr>
              <w:spacing w:after="0"/>
            </w:pPr>
            <w:r>
              <w:rPr>
                <w:sz w:val="15"/>
              </w:rPr>
              <w:t>14-Feb-2026</w:t>
            </w:r>
          </w:p>
        </w:tc>
      </w:tr>
      <w:tr>
        <w:tc>
          <w:tcPr>
            <w:tcW w:type="dxa" w:w="1624"/>
          </w:tcPr>
          <w:p>
            <w:pPr>
              <w:spacing w:after="0"/>
            </w:pPr>
            <w:r>
              <w:rPr>
                <w:sz w:val="15"/>
              </w:rPr>
              <w:t>C3</w:t>
            </w:r>
          </w:p>
        </w:tc>
        <w:tc>
          <w:tcPr>
            <w:tcW w:type="dxa" w:w="1624"/>
          </w:tcPr>
          <w:p>
            <w:pPr>
              <w:spacing w:after="0"/>
            </w:pPr>
            <w:r>
              <w:rPr>
                <w:sz w:val="15"/>
              </w:rPr>
              <w:t>Gestión de bypass/overrides de alarmas e interlocks sin control formal</w:t>
            </w:r>
          </w:p>
        </w:tc>
        <w:tc>
          <w:tcPr>
            <w:tcW w:type="dxa" w:w="1624"/>
          </w:tcPr>
          <w:p>
            <w:pPr>
              <w:spacing w:after="0"/>
            </w:pPr>
            <w:r>
              <w:rPr>
                <w:sz w:val="15"/>
              </w:rPr>
              <w:t>SIS/Alarmas</w:t>
            </w:r>
          </w:p>
        </w:tc>
        <w:tc>
          <w:tcPr>
            <w:tcW w:type="dxa" w:w="1624"/>
          </w:tcPr>
          <w:p>
            <w:pPr>
              <w:spacing w:after="0"/>
            </w:pPr>
            <w:r>
              <w:rPr>
                <w:sz w:val="15"/>
              </w:rPr>
              <w:t>Degradación de capas de protección (LOPA) incrementa probabilidad de evento mayor.</w:t>
            </w:r>
          </w:p>
        </w:tc>
        <w:tc>
          <w:tcPr>
            <w:tcW w:type="dxa" w:w="1624"/>
          </w:tcPr>
          <w:p>
            <w:pPr>
              <w:spacing w:after="0"/>
            </w:pPr>
            <w:r>
              <w:rPr>
                <w:sz w:val="15"/>
              </w:rPr>
              <w:t>Líder de Control e Instrumentación</w:t>
            </w:r>
          </w:p>
        </w:tc>
        <w:tc>
          <w:tcPr>
            <w:tcW w:type="dxa" w:w="1624"/>
          </w:tcPr>
          <w:p>
            <w:pPr>
              <w:spacing w:after="0"/>
            </w:pPr>
            <w:r>
              <w:rPr>
                <w:sz w:val="15"/>
              </w:rPr>
              <w:t>29-Jan-2026</w:t>
            </w:r>
          </w:p>
        </w:tc>
      </w:tr>
      <w:tr>
        <w:tc>
          <w:tcPr>
            <w:tcW w:type="dxa" w:w="1624"/>
          </w:tcPr>
          <w:p>
            <w:pPr>
              <w:spacing w:after="0"/>
            </w:pPr>
            <w:r>
              <w:rPr>
                <w:sz w:val="15"/>
              </w:rPr>
              <w:t>C4</w:t>
            </w:r>
          </w:p>
        </w:tc>
        <w:tc>
          <w:tcPr>
            <w:tcW w:type="dxa" w:w="1624"/>
          </w:tcPr>
          <w:p>
            <w:pPr>
              <w:spacing w:after="0"/>
            </w:pPr>
            <w:r>
              <w:rPr>
                <w:sz w:val="15"/>
              </w:rPr>
              <w:t>Procedimientos operativos sin límites críticos (SOL) y respuesta estandarizada a desviaciones</w:t>
            </w:r>
          </w:p>
        </w:tc>
        <w:tc>
          <w:tcPr>
            <w:tcW w:type="dxa" w:w="1624"/>
          </w:tcPr>
          <w:p>
            <w:pPr>
              <w:spacing w:after="0"/>
            </w:pPr>
            <w:r>
              <w:rPr>
                <w:sz w:val="15"/>
              </w:rPr>
              <w:t>Operating Procedures</w:t>
            </w:r>
          </w:p>
        </w:tc>
        <w:tc>
          <w:tcPr>
            <w:tcW w:type="dxa" w:w="1624"/>
          </w:tcPr>
          <w:p>
            <w:pPr>
              <w:spacing w:after="0"/>
            </w:pPr>
            <w:r>
              <w:rPr>
                <w:sz w:val="15"/>
              </w:rPr>
              <w:t>Operación fuera de diseño y respuesta tardía ante desviaciones puede derivar en evento mayor.</w:t>
            </w:r>
          </w:p>
        </w:tc>
        <w:tc>
          <w:tcPr>
            <w:tcW w:type="dxa" w:w="1624"/>
          </w:tcPr>
          <w:p>
            <w:pPr>
              <w:spacing w:after="0"/>
            </w:pPr>
            <w:r>
              <w:rPr>
                <w:sz w:val="15"/>
              </w:rPr>
              <w:t>Superintendencia de Operaciones</w:t>
            </w:r>
          </w:p>
        </w:tc>
        <w:tc>
          <w:tcPr>
            <w:tcW w:type="dxa" w:w="1624"/>
          </w:tcPr>
          <w:p>
            <w:pPr>
              <w:spacing w:after="0"/>
            </w:pPr>
            <w:r>
              <w:rPr>
                <w:sz w:val="15"/>
              </w:rPr>
              <w:t>16-Mar-2026</w:t>
            </w:r>
          </w:p>
        </w:tc>
      </w:tr>
      <w:tr>
        <w:tc>
          <w:tcPr>
            <w:tcW w:type="dxa" w:w="1624"/>
          </w:tcPr>
          <w:p>
            <w:pPr>
              <w:spacing w:after="0"/>
            </w:pPr>
            <w:r>
              <w:rPr>
                <w:sz w:val="15"/>
              </w:rPr>
              <w:t>C5</w:t>
            </w:r>
          </w:p>
        </w:tc>
        <w:tc>
          <w:tcPr>
            <w:tcW w:type="dxa" w:w="1624"/>
          </w:tcPr>
          <w:p>
            <w:pPr>
              <w:spacing w:after="0"/>
            </w:pPr>
            <w:r>
              <w:rPr>
                <w:sz w:val="15"/>
              </w:rPr>
              <w:t>MOC incompleto para cambios temporales y modificaciones menores (gestión documental y aprobación)</w:t>
            </w:r>
          </w:p>
        </w:tc>
        <w:tc>
          <w:tcPr>
            <w:tcW w:type="dxa" w:w="1624"/>
          </w:tcPr>
          <w:p>
            <w:pPr>
              <w:spacing w:after="0"/>
            </w:pPr>
            <w:r>
              <w:rPr>
                <w:sz w:val="15"/>
              </w:rPr>
              <w:t>MOC</w:t>
            </w:r>
          </w:p>
        </w:tc>
        <w:tc>
          <w:tcPr>
            <w:tcW w:type="dxa" w:w="1624"/>
          </w:tcPr>
          <w:p>
            <w:pPr>
              <w:spacing w:after="0"/>
            </w:pPr>
            <w:r>
              <w:rPr>
                <w:sz w:val="15"/>
              </w:rPr>
              <w:t>Cambios no evaluados pueden introducir nuevos peligros y fallas sistémicas.</w:t>
            </w:r>
          </w:p>
        </w:tc>
        <w:tc>
          <w:tcPr>
            <w:tcW w:type="dxa" w:w="1624"/>
          </w:tcPr>
          <w:p>
            <w:pPr>
              <w:spacing w:after="0"/>
            </w:pPr>
            <w:r>
              <w:rPr>
                <w:sz w:val="15"/>
              </w:rPr>
              <w:t>Coordinador de Ingeniería de Procesos</w:t>
            </w:r>
          </w:p>
        </w:tc>
        <w:tc>
          <w:tcPr>
            <w:tcW w:type="dxa" w:w="1624"/>
          </w:tcPr>
          <w:p>
            <w:pPr>
              <w:spacing w:after="0"/>
            </w:pPr>
            <w:r>
              <w:rPr>
                <w:sz w:val="15"/>
              </w:rPr>
              <w:t>14-Feb-2026</w:t>
            </w:r>
          </w:p>
        </w:tc>
      </w:tr>
      <w:tr>
        <w:tc>
          <w:tcPr>
            <w:tcW w:type="dxa" w:w="1624"/>
          </w:tcPr>
          <w:p>
            <w:pPr>
              <w:spacing w:after="0"/>
            </w:pPr>
            <w:r>
              <w:rPr>
                <w:sz w:val="15"/>
              </w:rPr>
              <w:t>C6</w:t>
            </w:r>
          </w:p>
        </w:tc>
        <w:tc>
          <w:tcPr>
            <w:tcW w:type="dxa" w:w="1624"/>
          </w:tcPr>
          <w:p>
            <w:pPr>
              <w:spacing w:after="0"/>
            </w:pPr>
            <w:r>
              <w:rPr>
                <w:sz w:val="15"/>
              </w:rPr>
              <w:t>Plan de respuesta a emergencias no probado para escenarios de mayor consecuencia</w:t>
            </w:r>
          </w:p>
        </w:tc>
        <w:tc>
          <w:tcPr>
            <w:tcW w:type="dxa" w:w="1624"/>
          </w:tcPr>
          <w:p>
            <w:pPr>
              <w:spacing w:after="0"/>
            </w:pPr>
            <w:r>
              <w:rPr>
                <w:sz w:val="15"/>
              </w:rPr>
              <w:t>Emergency Planning</w:t>
            </w:r>
          </w:p>
        </w:tc>
        <w:tc>
          <w:tcPr>
            <w:tcW w:type="dxa" w:w="1624"/>
          </w:tcPr>
          <w:p>
            <w:pPr>
              <w:spacing w:after="0"/>
            </w:pPr>
            <w:r>
              <w:rPr>
                <w:sz w:val="15"/>
              </w:rPr>
              <w:t>Respuesta descoordinada puede aumentar impacto a personas, activos y entorno.</w:t>
            </w:r>
          </w:p>
        </w:tc>
        <w:tc>
          <w:tcPr>
            <w:tcW w:type="dxa" w:w="1624"/>
          </w:tcPr>
          <w:p>
            <w:pPr>
              <w:spacing w:after="0"/>
            </w:pPr>
            <w:r>
              <w:rPr>
                <w:sz w:val="15"/>
              </w:rPr>
              <w:t>Jefe HSE</w:t>
            </w:r>
          </w:p>
        </w:tc>
        <w:tc>
          <w:tcPr>
            <w:tcW w:type="dxa" w:w="1624"/>
          </w:tcPr>
          <w:p>
            <w:pPr>
              <w:spacing w:after="0"/>
            </w:pPr>
            <w:r>
              <w:rPr>
                <w:sz w:val="15"/>
              </w:rPr>
              <w:t>01-Mar-2026</w:t>
            </w:r>
          </w:p>
        </w:tc>
      </w:tr>
      <w:tr>
        <w:tc>
          <w:tcPr>
            <w:tcW w:type="dxa" w:w="1624"/>
          </w:tcPr>
          <w:p>
            <w:pPr>
              <w:spacing w:after="0"/>
            </w:pPr>
            <w:r>
              <w:rPr>
                <w:sz w:val="15"/>
              </w:rPr>
              <w:t>A1</w:t>
            </w:r>
          </w:p>
        </w:tc>
        <w:tc>
          <w:tcPr>
            <w:tcW w:type="dxa" w:w="1624"/>
          </w:tcPr>
          <w:p>
            <w:pPr>
              <w:spacing w:after="0"/>
            </w:pPr>
            <w:r>
              <w:rPr>
                <w:sz w:val="15"/>
              </w:rPr>
              <w:t>Matriz de competencias PSM incompleta por rol (operadores, mantenimiento, contratistas)</w:t>
            </w:r>
          </w:p>
        </w:tc>
        <w:tc>
          <w:tcPr>
            <w:tcW w:type="dxa" w:w="1624"/>
          </w:tcPr>
          <w:p>
            <w:pPr>
              <w:spacing w:after="0"/>
            </w:pPr>
            <w:r>
              <w:rPr>
                <w:sz w:val="15"/>
              </w:rPr>
              <w:t>Training</w:t>
            </w:r>
          </w:p>
        </w:tc>
        <w:tc>
          <w:tcPr>
            <w:tcW w:type="dxa" w:w="1624"/>
          </w:tcPr>
          <w:p>
            <w:pPr>
              <w:spacing w:after="0"/>
            </w:pPr>
            <w:r>
              <w:rPr>
                <w:sz w:val="15"/>
              </w:rPr>
              <w:t>Errores humanos por falta de competencia pueden debilitar barreras.</w:t>
            </w:r>
          </w:p>
        </w:tc>
        <w:tc>
          <w:tcPr>
            <w:tcW w:type="dxa" w:w="1624"/>
          </w:tcPr>
          <w:p>
            <w:pPr>
              <w:spacing w:after="0"/>
            </w:pPr>
            <w:r>
              <w:rPr>
                <w:sz w:val="15"/>
              </w:rPr>
              <w:t>Recursos Humanos</w:t>
            </w:r>
          </w:p>
        </w:tc>
        <w:tc>
          <w:tcPr>
            <w:tcW w:type="dxa" w:w="1624"/>
          </w:tcPr>
          <w:p>
            <w:pPr>
              <w:spacing w:after="0"/>
            </w:pPr>
            <w:r>
              <w:rPr>
                <w:sz w:val="15"/>
              </w:rPr>
              <w:t>15-Apr-2026</w:t>
            </w:r>
          </w:p>
        </w:tc>
      </w:tr>
      <w:tr>
        <w:tc>
          <w:tcPr>
            <w:tcW w:type="dxa" w:w="1624"/>
          </w:tcPr>
          <w:p>
            <w:pPr>
              <w:spacing w:after="0"/>
            </w:pPr>
            <w:r>
              <w:rPr>
                <w:sz w:val="15"/>
              </w:rPr>
              <w:t>A2</w:t>
            </w:r>
          </w:p>
        </w:tc>
        <w:tc>
          <w:tcPr>
            <w:tcW w:type="dxa" w:w="1624"/>
          </w:tcPr>
          <w:p>
            <w:pPr>
              <w:spacing w:after="0"/>
            </w:pPr>
            <w:r>
              <w:rPr>
                <w:sz w:val="15"/>
              </w:rPr>
              <w:t>Gestión de contratistas sin verificación consistente de desempeño PSM/HSE</w:t>
            </w:r>
          </w:p>
        </w:tc>
        <w:tc>
          <w:tcPr>
            <w:tcW w:type="dxa" w:w="1624"/>
          </w:tcPr>
          <w:p>
            <w:pPr>
              <w:spacing w:after="0"/>
            </w:pPr>
            <w:r>
              <w:rPr>
                <w:sz w:val="15"/>
              </w:rPr>
              <w:t>Contractors</w:t>
            </w:r>
          </w:p>
        </w:tc>
        <w:tc>
          <w:tcPr>
            <w:tcW w:type="dxa" w:w="1624"/>
          </w:tcPr>
          <w:p>
            <w:pPr>
              <w:spacing w:after="0"/>
            </w:pPr>
            <w:r>
              <w:rPr>
                <w:sz w:val="15"/>
              </w:rPr>
              <w:t>Riesgo de trabajo inseguro en actividades críticas (hot work, altura).</w:t>
            </w:r>
          </w:p>
        </w:tc>
        <w:tc>
          <w:tcPr>
            <w:tcW w:type="dxa" w:w="1624"/>
          </w:tcPr>
          <w:p>
            <w:pPr>
              <w:spacing w:after="0"/>
            </w:pPr>
            <w:r>
              <w:rPr>
                <w:sz w:val="15"/>
              </w:rPr>
              <w:t>HSE</w:t>
            </w:r>
          </w:p>
        </w:tc>
        <w:tc>
          <w:tcPr>
            <w:tcW w:type="dxa" w:w="1624"/>
          </w:tcPr>
          <w:p>
            <w:pPr>
              <w:spacing w:after="0"/>
            </w:pPr>
            <w:r>
              <w:rPr>
                <w:sz w:val="15"/>
              </w:rPr>
              <w:t>31-Mar-2026</w:t>
            </w:r>
          </w:p>
        </w:tc>
      </w:tr>
      <w:tr>
        <w:tc>
          <w:tcPr>
            <w:tcW w:type="dxa" w:w="1624"/>
          </w:tcPr>
          <w:p>
            <w:pPr>
              <w:spacing w:after="0"/>
            </w:pPr>
            <w:r>
              <w:rPr>
                <w:sz w:val="15"/>
              </w:rPr>
              <w:t>A3</w:t>
            </w:r>
          </w:p>
        </w:tc>
        <w:tc>
          <w:tcPr>
            <w:tcW w:type="dxa" w:w="1624"/>
          </w:tcPr>
          <w:p>
            <w:pPr>
              <w:spacing w:after="0"/>
            </w:pPr>
            <w:r>
              <w:rPr>
                <w:sz w:val="15"/>
              </w:rPr>
              <w:t>Permisos de trabajo: evidencia documental inconsistente para hot work y energías peligrosas</w:t>
            </w:r>
          </w:p>
        </w:tc>
        <w:tc>
          <w:tcPr>
            <w:tcW w:type="dxa" w:w="1624"/>
          </w:tcPr>
          <w:p>
            <w:pPr>
              <w:spacing w:after="0"/>
            </w:pPr>
            <w:r>
              <w:rPr>
                <w:sz w:val="15"/>
              </w:rPr>
              <w:t>Hot Work / PTW</w:t>
            </w:r>
          </w:p>
        </w:tc>
        <w:tc>
          <w:tcPr>
            <w:tcW w:type="dxa" w:w="1624"/>
          </w:tcPr>
          <w:p>
            <w:pPr>
              <w:spacing w:after="0"/>
            </w:pPr>
            <w:r>
              <w:rPr>
                <w:sz w:val="15"/>
              </w:rPr>
              <w:t>Mayor probabilidad de ignición o liberación durante trabajos.</w:t>
            </w:r>
          </w:p>
        </w:tc>
        <w:tc>
          <w:tcPr>
            <w:tcW w:type="dxa" w:w="1624"/>
          </w:tcPr>
          <w:p>
            <w:pPr>
              <w:spacing w:after="0"/>
            </w:pPr>
            <w:r>
              <w:rPr>
                <w:sz w:val="15"/>
              </w:rPr>
              <w:t>Mantenimiento</w:t>
            </w:r>
          </w:p>
        </w:tc>
        <w:tc>
          <w:tcPr>
            <w:tcW w:type="dxa" w:w="1624"/>
          </w:tcPr>
          <w:p>
            <w:pPr>
              <w:spacing w:after="0"/>
            </w:pPr>
            <w:r>
              <w:rPr>
                <w:sz w:val="15"/>
              </w:rPr>
              <w:t>16-Mar-2026</w:t>
            </w:r>
          </w:p>
        </w:tc>
      </w:tr>
      <w:tr>
        <w:tc>
          <w:tcPr>
            <w:tcW w:type="dxa" w:w="1624"/>
          </w:tcPr>
          <w:p>
            <w:pPr>
              <w:spacing w:after="0"/>
            </w:pPr>
            <w:r>
              <w:rPr>
                <w:sz w:val="15"/>
              </w:rPr>
              <w:t>A4</w:t>
            </w:r>
          </w:p>
        </w:tc>
        <w:tc>
          <w:tcPr>
            <w:tcW w:type="dxa" w:w="1624"/>
          </w:tcPr>
          <w:p>
            <w:pPr>
              <w:spacing w:after="0"/>
            </w:pPr>
            <w:r>
              <w:rPr>
                <w:sz w:val="15"/>
              </w:rPr>
              <w:t>Investigación de incidentes y cuasi-incidentes sin RCA estandarizado y verificación de efectividad</w:t>
            </w:r>
          </w:p>
        </w:tc>
        <w:tc>
          <w:tcPr>
            <w:tcW w:type="dxa" w:w="1624"/>
          </w:tcPr>
          <w:p>
            <w:pPr>
              <w:spacing w:after="0"/>
            </w:pPr>
            <w:r>
              <w:rPr>
                <w:sz w:val="15"/>
              </w:rPr>
              <w:t>Incident Investigation</w:t>
            </w:r>
          </w:p>
        </w:tc>
        <w:tc>
          <w:tcPr>
            <w:tcW w:type="dxa" w:w="1624"/>
          </w:tcPr>
          <w:p>
            <w:pPr>
              <w:spacing w:after="0"/>
            </w:pPr>
            <w:r>
              <w:rPr>
                <w:sz w:val="15"/>
              </w:rPr>
              <w:t>Repetición de fallas y degradación del aprendizaje organizacional.</w:t>
            </w:r>
          </w:p>
        </w:tc>
        <w:tc>
          <w:tcPr>
            <w:tcW w:type="dxa" w:w="1624"/>
          </w:tcPr>
          <w:p>
            <w:pPr>
              <w:spacing w:after="0"/>
            </w:pPr>
            <w:r>
              <w:rPr>
                <w:sz w:val="15"/>
              </w:rPr>
              <w:t>Calidad/HSE</w:t>
            </w:r>
          </w:p>
        </w:tc>
        <w:tc>
          <w:tcPr>
            <w:tcW w:type="dxa" w:w="1624"/>
          </w:tcPr>
          <w:p>
            <w:pPr>
              <w:spacing w:after="0"/>
            </w:pPr>
            <w:r>
              <w:rPr>
                <w:sz w:val="15"/>
              </w:rPr>
              <w:t>15-Apr-2026</w:t>
            </w:r>
          </w:p>
        </w:tc>
      </w:tr>
      <w:tr>
        <w:tc>
          <w:tcPr>
            <w:tcW w:type="dxa" w:w="1624"/>
          </w:tcPr>
          <w:p>
            <w:pPr>
              <w:spacing w:after="0"/>
            </w:pPr>
            <w:r>
              <w:rPr>
                <w:sz w:val="15"/>
              </w:rPr>
              <w:t>A5</w:t>
            </w:r>
          </w:p>
        </w:tc>
        <w:tc>
          <w:tcPr>
            <w:tcW w:type="dxa" w:w="1624"/>
          </w:tcPr>
          <w:p>
            <w:pPr>
              <w:spacing w:after="0"/>
            </w:pPr>
            <w:r>
              <w:rPr>
                <w:sz w:val="15"/>
              </w:rPr>
              <w:t>PSI (P&amp;IDs/as-built) con rezago frente a modificaciones en campo</w:t>
            </w:r>
          </w:p>
        </w:tc>
        <w:tc>
          <w:tcPr>
            <w:tcW w:type="dxa" w:w="1624"/>
          </w:tcPr>
          <w:p>
            <w:pPr>
              <w:spacing w:after="0"/>
            </w:pPr>
            <w:r>
              <w:rPr>
                <w:sz w:val="15"/>
              </w:rPr>
              <w:t>PSI</w:t>
            </w:r>
          </w:p>
        </w:tc>
        <w:tc>
          <w:tcPr>
            <w:tcW w:type="dxa" w:w="1624"/>
          </w:tcPr>
          <w:p>
            <w:pPr>
              <w:spacing w:after="0"/>
            </w:pPr>
            <w:r>
              <w:rPr>
                <w:sz w:val="15"/>
              </w:rPr>
              <w:t>Información base incorrecta compromete PHA, MI y respuesta a emergencias.</w:t>
            </w:r>
          </w:p>
        </w:tc>
        <w:tc>
          <w:tcPr>
            <w:tcW w:type="dxa" w:w="1624"/>
          </w:tcPr>
          <w:p>
            <w:pPr>
              <w:spacing w:after="0"/>
            </w:pPr>
            <w:r>
              <w:rPr>
                <w:sz w:val="15"/>
              </w:rPr>
              <w:t>Ingeniería</w:t>
            </w:r>
          </w:p>
        </w:tc>
        <w:tc>
          <w:tcPr>
            <w:tcW w:type="dxa" w:w="1624"/>
          </w:tcPr>
          <w:p>
            <w:pPr>
              <w:spacing w:after="0"/>
            </w:pPr>
            <w:r>
              <w:rPr>
                <w:sz w:val="15"/>
              </w:rPr>
              <w:t>15-May-2026</w:t>
            </w:r>
          </w:p>
        </w:tc>
      </w:tr>
      <w:tr>
        <w:tc>
          <w:tcPr>
            <w:tcW w:type="dxa" w:w="1624"/>
          </w:tcPr>
          <w:p>
            <w:pPr>
              <w:spacing w:after="0"/>
            </w:pPr>
            <w:r>
              <w:rPr>
                <w:sz w:val="15"/>
              </w:rPr>
              <w:t>A6</w:t>
            </w:r>
          </w:p>
        </w:tc>
        <w:tc>
          <w:tcPr>
            <w:tcW w:type="dxa" w:w="1624"/>
          </w:tcPr>
          <w:p>
            <w:pPr>
              <w:spacing w:after="0"/>
            </w:pPr>
            <w:r>
              <w:rPr>
                <w:sz w:val="15"/>
              </w:rPr>
              <w:t>PSSR no aplicado de forma consistente antes de cambios y puestas en marcha</w:t>
            </w:r>
          </w:p>
        </w:tc>
        <w:tc>
          <w:tcPr>
            <w:tcW w:type="dxa" w:w="1624"/>
          </w:tcPr>
          <w:p>
            <w:pPr>
              <w:spacing w:after="0"/>
            </w:pPr>
            <w:r>
              <w:rPr>
                <w:sz w:val="15"/>
              </w:rPr>
              <w:t>PSSR</w:t>
            </w:r>
          </w:p>
        </w:tc>
        <w:tc>
          <w:tcPr>
            <w:tcW w:type="dxa" w:w="1624"/>
          </w:tcPr>
          <w:p>
            <w:pPr>
              <w:spacing w:after="0"/>
            </w:pPr>
            <w:r>
              <w:rPr>
                <w:sz w:val="15"/>
              </w:rPr>
              <w:t>Arranque con condiciones no seguras o sin verificación de barreras.</w:t>
            </w:r>
          </w:p>
        </w:tc>
        <w:tc>
          <w:tcPr>
            <w:tcW w:type="dxa" w:w="1624"/>
          </w:tcPr>
          <w:p>
            <w:pPr>
              <w:spacing w:after="0"/>
            </w:pPr>
            <w:r>
              <w:rPr>
                <w:sz w:val="15"/>
              </w:rPr>
              <w:t>Ingeniería</w:t>
            </w:r>
          </w:p>
        </w:tc>
        <w:tc>
          <w:tcPr>
            <w:tcW w:type="dxa" w:w="1624"/>
          </w:tcPr>
          <w:p>
            <w:pPr>
              <w:spacing w:after="0"/>
            </w:pPr>
            <w:r>
              <w:rPr>
                <w:sz w:val="15"/>
              </w:rPr>
              <w:t>15-Apr-2026</w:t>
            </w:r>
          </w:p>
        </w:tc>
      </w:tr>
      <w:tr>
        <w:tc>
          <w:tcPr>
            <w:tcW w:type="dxa" w:w="1624"/>
          </w:tcPr>
          <w:p>
            <w:pPr>
              <w:spacing w:after="0"/>
            </w:pPr>
            <w:r>
              <w:rPr>
                <w:sz w:val="15"/>
              </w:rPr>
              <w:t>A7</w:t>
            </w:r>
          </w:p>
        </w:tc>
        <w:tc>
          <w:tcPr>
            <w:tcW w:type="dxa" w:w="1624"/>
          </w:tcPr>
          <w:p>
            <w:pPr>
              <w:spacing w:after="0"/>
            </w:pPr>
            <w:r>
              <w:rPr>
                <w:sz w:val="15"/>
              </w:rPr>
              <w:t>Gestión de alarmas sin política de racionalización y sin seguimiento a alarm flood</w:t>
            </w:r>
          </w:p>
        </w:tc>
        <w:tc>
          <w:tcPr>
            <w:tcW w:type="dxa" w:w="1624"/>
          </w:tcPr>
          <w:p>
            <w:pPr>
              <w:spacing w:after="0"/>
            </w:pPr>
            <w:r>
              <w:rPr>
                <w:sz w:val="15"/>
              </w:rPr>
              <w:t>Alarm Management</w:t>
            </w:r>
          </w:p>
        </w:tc>
        <w:tc>
          <w:tcPr>
            <w:tcW w:type="dxa" w:w="1624"/>
          </w:tcPr>
          <w:p>
            <w:pPr>
              <w:spacing w:after="0"/>
            </w:pPr>
            <w:r>
              <w:rPr>
                <w:sz w:val="15"/>
              </w:rPr>
              <w:t>Sobrecarga cognitiva del operador y respuesta tardía.</w:t>
            </w:r>
          </w:p>
        </w:tc>
        <w:tc>
          <w:tcPr>
            <w:tcW w:type="dxa" w:w="1624"/>
          </w:tcPr>
          <w:p>
            <w:pPr>
              <w:spacing w:after="0"/>
            </w:pPr>
            <w:r>
              <w:rPr>
                <w:sz w:val="15"/>
              </w:rPr>
              <w:t>Control e Instrumentación</w:t>
            </w:r>
          </w:p>
        </w:tc>
        <w:tc>
          <w:tcPr>
            <w:tcW w:type="dxa" w:w="1624"/>
          </w:tcPr>
          <w:p>
            <w:pPr>
              <w:spacing w:after="0"/>
            </w:pPr>
            <w:r>
              <w:rPr>
                <w:sz w:val="15"/>
              </w:rPr>
              <w:t>15-May-2026</w:t>
            </w:r>
          </w:p>
        </w:tc>
      </w:tr>
      <w:tr>
        <w:tc>
          <w:tcPr>
            <w:tcW w:type="dxa" w:w="1624"/>
          </w:tcPr>
          <w:p>
            <w:pPr>
              <w:spacing w:after="0"/>
            </w:pPr>
            <w:r>
              <w:rPr>
                <w:sz w:val="15"/>
              </w:rPr>
              <w:t>A8</w:t>
            </w:r>
          </w:p>
        </w:tc>
        <w:tc>
          <w:tcPr>
            <w:tcW w:type="dxa" w:w="1624"/>
          </w:tcPr>
          <w:p>
            <w:pPr>
              <w:spacing w:after="0"/>
            </w:pPr>
            <w:r>
              <w:rPr>
                <w:sz w:val="15"/>
              </w:rPr>
              <w:t>Programa de pruebas de PSV y dispositivos de alivio no priorizado por criticidad</w:t>
            </w:r>
          </w:p>
        </w:tc>
        <w:tc>
          <w:tcPr>
            <w:tcW w:type="dxa" w:w="1624"/>
          </w:tcPr>
          <w:p>
            <w:pPr>
              <w:spacing w:after="0"/>
            </w:pPr>
            <w:r>
              <w:rPr>
                <w:sz w:val="15"/>
              </w:rPr>
              <w:t>Mechanical Integrity</w:t>
            </w:r>
          </w:p>
        </w:tc>
        <w:tc>
          <w:tcPr>
            <w:tcW w:type="dxa" w:w="1624"/>
          </w:tcPr>
          <w:p>
            <w:pPr>
              <w:spacing w:after="0"/>
            </w:pPr>
            <w:r>
              <w:rPr>
                <w:sz w:val="15"/>
              </w:rPr>
              <w:t>Protección de sobrepresión potencialmente insuficiente.</w:t>
            </w:r>
          </w:p>
        </w:tc>
        <w:tc>
          <w:tcPr>
            <w:tcW w:type="dxa" w:w="1624"/>
          </w:tcPr>
          <w:p>
            <w:pPr>
              <w:spacing w:after="0"/>
            </w:pPr>
            <w:r>
              <w:rPr>
                <w:sz w:val="15"/>
              </w:rPr>
              <w:t>Mantenimiento</w:t>
            </w:r>
          </w:p>
        </w:tc>
        <w:tc>
          <w:tcPr>
            <w:tcW w:type="dxa" w:w="1624"/>
          </w:tcPr>
          <w:p>
            <w:pPr>
              <w:spacing w:after="0"/>
            </w:pPr>
            <w:r>
              <w:rPr>
                <w:sz w:val="15"/>
              </w:rPr>
              <w:t>15-Apr-2026</w:t>
            </w:r>
          </w:p>
        </w:tc>
      </w:tr>
      <w:tr>
        <w:tc>
          <w:tcPr>
            <w:tcW w:type="dxa" w:w="1624"/>
          </w:tcPr>
          <w:p>
            <w:pPr>
              <w:spacing w:after="0"/>
            </w:pPr>
            <w:r>
              <w:rPr>
                <w:sz w:val="15"/>
              </w:rPr>
              <w:t>A9</w:t>
            </w:r>
          </w:p>
        </w:tc>
        <w:tc>
          <w:tcPr>
            <w:tcW w:type="dxa" w:w="1624"/>
          </w:tcPr>
          <w:p>
            <w:pPr>
              <w:spacing w:after="0"/>
            </w:pPr>
            <w:r>
              <w:rPr>
                <w:sz w:val="15"/>
              </w:rPr>
              <w:t>Gestión de cambios de setpoints y lógica de control sin evaluación formal de riesgo</w:t>
            </w:r>
          </w:p>
        </w:tc>
        <w:tc>
          <w:tcPr>
            <w:tcW w:type="dxa" w:w="1624"/>
          </w:tcPr>
          <w:p>
            <w:pPr>
              <w:spacing w:after="0"/>
            </w:pPr>
            <w:r>
              <w:rPr>
                <w:sz w:val="15"/>
              </w:rPr>
              <w:t>MOC/SIS</w:t>
            </w:r>
          </w:p>
        </w:tc>
        <w:tc>
          <w:tcPr>
            <w:tcW w:type="dxa" w:w="1624"/>
          </w:tcPr>
          <w:p>
            <w:pPr>
              <w:spacing w:after="0"/>
            </w:pPr>
            <w:r>
              <w:rPr>
                <w:sz w:val="15"/>
              </w:rPr>
              <w:t>Modificación de barreras puede aumentar probabilidad de desviación peligrosa.</w:t>
            </w:r>
          </w:p>
        </w:tc>
        <w:tc>
          <w:tcPr>
            <w:tcW w:type="dxa" w:w="1624"/>
          </w:tcPr>
          <w:p>
            <w:pPr>
              <w:spacing w:after="0"/>
            </w:pPr>
            <w:r>
              <w:rPr>
                <w:sz w:val="15"/>
              </w:rPr>
              <w:t>Operaciones</w:t>
            </w:r>
          </w:p>
        </w:tc>
        <w:tc>
          <w:tcPr>
            <w:tcW w:type="dxa" w:w="1624"/>
          </w:tcPr>
          <w:p>
            <w:pPr>
              <w:spacing w:after="0"/>
            </w:pPr>
            <w:r>
              <w:rPr>
                <w:sz w:val="15"/>
              </w:rPr>
              <w:t>16-Mar-2026</w:t>
            </w:r>
          </w:p>
        </w:tc>
      </w:tr>
      <w:tr>
        <w:tc>
          <w:tcPr>
            <w:tcW w:type="dxa" w:w="1624"/>
          </w:tcPr>
          <w:p>
            <w:pPr>
              <w:spacing w:after="0"/>
            </w:pPr>
            <w:r>
              <w:rPr>
                <w:sz w:val="15"/>
              </w:rPr>
              <w:t>A10</w:t>
            </w:r>
          </w:p>
        </w:tc>
        <w:tc>
          <w:tcPr>
            <w:tcW w:type="dxa" w:w="1624"/>
          </w:tcPr>
          <w:p>
            <w:pPr>
              <w:spacing w:after="0"/>
            </w:pPr>
            <w:r>
              <w:rPr>
                <w:sz w:val="15"/>
              </w:rPr>
              <w:t>Auditorías internas PSM: profundidad variable y plan de cierre sin trazabilidad completa</w:t>
            </w:r>
          </w:p>
        </w:tc>
        <w:tc>
          <w:tcPr>
            <w:tcW w:type="dxa" w:w="1624"/>
          </w:tcPr>
          <w:p>
            <w:pPr>
              <w:spacing w:after="0"/>
            </w:pPr>
            <w:r>
              <w:rPr>
                <w:sz w:val="15"/>
              </w:rPr>
              <w:t>Compliance Audits</w:t>
            </w:r>
          </w:p>
        </w:tc>
        <w:tc>
          <w:tcPr>
            <w:tcW w:type="dxa" w:w="1624"/>
          </w:tcPr>
          <w:p>
            <w:pPr>
              <w:spacing w:after="0"/>
            </w:pPr>
            <w:r>
              <w:rPr>
                <w:sz w:val="15"/>
              </w:rPr>
              <w:t>Brechas recurrentes y débil mejora continua.</w:t>
            </w:r>
          </w:p>
        </w:tc>
        <w:tc>
          <w:tcPr>
            <w:tcW w:type="dxa" w:w="1624"/>
          </w:tcPr>
          <w:p>
            <w:pPr>
              <w:spacing w:after="0"/>
            </w:pPr>
            <w:r>
              <w:rPr>
                <w:sz w:val="15"/>
              </w:rPr>
              <w:t>HSE</w:t>
            </w:r>
          </w:p>
        </w:tc>
        <w:tc>
          <w:tcPr>
            <w:tcW w:type="dxa" w:w="1624"/>
          </w:tcPr>
          <w:p>
            <w:pPr>
              <w:spacing w:after="0"/>
            </w:pPr>
            <w:r>
              <w:rPr>
                <w:sz w:val="15"/>
              </w:rPr>
              <w:t>15-May-2026</w:t>
            </w:r>
          </w:p>
        </w:tc>
      </w:tr>
      <w:tr>
        <w:tc>
          <w:tcPr>
            <w:tcW w:type="dxa" w:w="1624"/>
          </w:tcPr>
          <w:p>
            <w:pPr>
              <w:spacing w:after="0"/>
            </w:pPr>
            <w:r>
              <w:rPr>
                <w:sz w:val="15"/>
              </w:rPr>
              <w:t>M1</w:t>
            </w:r>
          </w:p>
        </w:tc>
        <w:tc>
          <w:tcPr>
            <w:tcW w:type="dxa" w:w="1624"/>
          </w:tcPr>
          <w:p>
            <w:pPr>
              <w:spacing w:after="0"/>
            </w:pPr>
            <w:r>
              <w:rPr>
                <w:sz w:val="15"/>
              </w:rPr>
              <w:t>Procedimiento de gestión documental sin control de versiones efectivo para SOPs críticos</w:t>
            </w:r>
          </w:p>
        </w:tc>
        <w:tc>
          <w:tcPr>
            <w:tcW w:type="dxa" w:w="1624"/>
          </w:tcPr>
          <w:p>
            <w:pPr>
              <w:spacing w:after="0"/>
            </w:pPr>
            <w:r>
              <w:rPr>
                <w:sz w:val="15"/>
              </w:rPr>
              <w:t>PSI/Procedures</w:t>
            </w:r>
          </w:p>
        </w:tc>
        <w:tc>
          <w:tcPr>
            <w:tcW w:type="dxa" w:w="1624"/>
          </w:tcPr>
          <w:p>
            <w:pPr>
              <w:spacing w:after="0"/>
            </w:pPr>
            <w:r>
              <w:rPr>
                <w:sz w:val="15"/>
              </w:rPr>
              <w:t>Riesgo de ejecución inconsistente.</w:t>
            </w:r>
          </w:p>
        </w:tc>
        <w:tc>
          <w:tcPr>
            <w:tcW w:type="dxa" w:w="1624"/>
          </w:tcPr>
          <w:p>
            <w:pPr>
              <w:spacing w:after="0"/>
            </w:pPr>
            <w:r>
              <w:rPr>
                <w:sz w:val="15"/>
              </w:rPr>
              <w:t>Calidad</w:t>
            </w:r>
          </w:p>
        </w:tc>
        <w:tc>
          <w:tcPr>
            <w:tcW w:type="dxa" w:w="1624"/>
          </w:tcPr>
          <w:p>
            <w:pPr>
              <w:spacing w:after="0"/>
            </w:pPr>
            <w:r>
              <w:rPr>
                <w:sz w:val="15"/>
              </w:rPr>
              <w:t>15-May-2026</w:t>
            </w:r>
          </w:p>
        </w:tc>
      </w:tr>
      <w:tr>
        <w:tc>
          <w:tcPr>
            <w:tcW w:type="dxa" w:w="1624"/>
          </w:tcPr>
          <w:p>
            <w:pPr>
              <w:spacing w:after="0"/>
            </w:pPr>
            <w:r>
              <w:rPr>
                <w:sz w:val="15"/>
              </w:rPr>
              <w:t>M2</w:t>
            </w:r>
          </w:p>
        </w:tc>
        <w:tc>
          <w:tcPr>
            <w:tcW w:type="dxa" w:w="1624"/>
          </w:tcPr>
          <w:p>
            <w:pPr>
              <w:spacing w:after="0"/>
            </w:pPr>
            <w:r>
              <w:rPr>
                <w:sz w:val="15"/>
              </w:rPr>
              <w:t>Checklist de arranque incluye puntos críticos pero sin registro sistemático en todas las unidades</w:t>
            </w:r>
          </w:p>
        </w:tc>
        <w:tc>
          <w:tcPr>
            <w:tcW w:type="dxa" w:w="1624"/>
          </w:tcPr>
          <w:p>
            <w:pPr>
              <w:spacing w:after="0"/>
            </w:pPr>
            <w:r>
              <w:rPr>
                <w:sz w:val="15"/>
              </w:rPr>
              <w:t>PSSR/Operations</w:t>
            </w:r>
          </w:p>
        </w:tc>
        <w:tc>
          <w:tcPr>
            <w:tcW w:type="dxa" w:w="1624"/>
          </w:tcPr>
          <w:p>
            <w:pPr>
              <w:spacing w:after="0"/>
            </w:pPr>
            <w:r>
              <w:rPr>
                <w:sz w:val="15"/>
              </w:rPr>
              <w:t>Variabilidad en arranques.</w:t>
            </w:r>
          </w:p>
        </w:tc>
        <w:tc>
          <w:tcPr>
            <w:tcW w:type="dxa" w:w="1624"/>
          </w:tcPr>
          <w:p>
            <w:pPr>
              <w:spacing w:after="0"/>
            </w:pPr>
            <w:r>
              <w:rPr>
                <w:sz w:val="15"/>
              </w:rPr>
              <w:t>Operaciones</w:t>
            </w:r>
          </w:p>
        </w:tc>
        <w:tc>
          <w:tcPr>
            <w:tcW w:type="dxa" w:w="1624"/>
          </w:tcPr>
          <w:p>
            <w:pPr>
              <w:spacing w:after="0"/>
            </w:pPr>
            <w:r>
              <w:rPr>
                <w:sz w:val="15"/>
              </w:rPr>
              <w:t>15-Apr-2026</w:t>
            </w:r>
          </w:p>
        </w:tc>
      </w:tr>
      <w:tr>
        <w:tc>
          <w:tcPr>
            <w:tcW w:type="dxa" w:w="1624"/>
          </w:tcPr>
          <w:p>
            <w:pPr>
              <w:spacing w:after="0"/>
            </w:pPr>
            <w:r>
              <w:rPr>
                <w:sz w:val="15"/>
              </w:rPr>
              <w:t>M3</w:t>
            </w:r>
          </w:p>
        </w:tc>
        <w:tc>
          <w:tcPr>
            <w:tcW w:type="dxa" w:w="1624"/>
          </w:tcPr>
          <w:p>
            <w:pPr>
              <w:spacing w:after="0"/>
            </w:pPr>
            <w:r>
              <w:rPr>
                <w:sz w:val="15"/>
              </w:rPr>
              <w:t>Capacitación de respuesta a emergencias no cubre a todo el personal por turnos</w:t>
            </w:r>
          </w:p>
        </w:tc>
        <w:tc>
          <w:tcPr>
            <w:tcW w:type="dxa" w:w="1624"/>
          </w:tcPr>
          <w:p>
            <w:pPr>
              <w:spacing w:after="0"/>
            </w:pPr>
            <w:r>
              <w:rPr>
                <w:sz w:val="15"/>
              </w:rPr>
              <w:t>Emergency Planning</w:t>
            </w:r>
          </w:p>
        </w:tc>
        <w:tc>
          <w:tcPr>
            <w:tcW w:type="dxa" w:w="1624"/>
          </w:tcPr>
          <w:p>
            <w:pPr>
              <w:spacing w:after="0"/>
            </w:pPr>
            <w:r>
              <w:rPr>
                <w:sz w:val="15"/>
              </w:rPr>
              <w:t>Respuesta desigual.</w:t>
            </w:r>
          </w:p>
        </w:tc>
        <w:tc>
          <w:tcPr>
            <w:tcW w:type="dxa" w:w="1624"/>
          </w:tcPr>
          <w:p>
            <w:pPr>
              <w:spacing w:after="0"/>
            </w:pPr>
            <w:r>
              <w:rPr>
                <w:sz w:val="15"/>
              </w:rPr>
              <w:t>HSE</w:t>
            </w:r>
          </w:p>
        </w:tc>
        <w:tc>
          <w:tcPr>
            <w:tcW w:type="dxa" w:w="1624"/>
          </w:tcPr>
          <w:p>
            <w:pPr>
              <w:spacing w:after="0"/>
            </w:pPr>
            <w:r>
              <w:rPr>
                <w:sz w:val="15"/>
              </w:rPr>
              <w:t>15-May-2026</w:t>
            </w:r>
          </w:p>
        </w:tc>
      </w:tr>
      <w:tr>
        <w:tc>
          <w:tcPr>
            <w:tcW w:type="dxa" w:w="1624"/>
          </w:tcPr>
          <w:p>
            <w:pPr>
              <w:spacing w:after="0"/>
            </w:pPr>
            <w:r>
              <w:rPr>
                <w:sz w:val="15"/>
              </w:rPr>
              <w:t>M4</w:t>
            </w:r>
          </w:p>
        </w:tc>
        <w:tc>
          <w:tcPr>
            <w:tcW w:type="dxa" w:w="1624"/>
          </w:tcPr>
          <w:p>
            <w:pPr>
              <w:spacing w:after="0"/>
            </w:pPr>
            <w:r>
              <w:rPr>
                <w:sz w:val="15"/>
              </w:rPr>
              <w:t>Inventario de químicos y SDS disponible pero señalización en campo incompleta</w:t>
            </w:r>
          </w:p>
        </w:tc>
        <w:tc>
          <w:tcPr>
            <w:tcW w:type="dxa" w:w="1624"/>
          </w:tcPr>
          <w:p>
            <w:pPr>
              <w:spacing w:after="0"/>
            </w:pPr>
            <w:r>
              <w:rPr>
                <w:sz w:val="15"/>
              </w:rPr>
              <w:t>PSI</w:t>
            </w:r>
          </w:p>
        </w:tc>
        <w:tc>
          <w:tcPr>
            <w:tcW w:type="dxa" w:w="1624"/>
          </w:tcPr>
          <w:p>
            <w:pPr>
              <w:spacing w:after="0"/>
            </w:pPr>
            <w:r>
              <w:rPr>
                <w:sz w:val="15"/>
              </w:rPr>
              <w:t>Exposición y errores en manejo.</w:t>
            </w:r>
          </w:p>
        </w:tc>
        <w:tc>
          <w:tcPr>
            <w:tcW w:type="dxa" w:w="1624"/>
          </w:tcPr>
          <w:p>
            <w:pPr>
              <w:spacing w:after="0"/>
            </w:pPr>
            <w:r>
              <w:rPr>
                <w:sz w:val="15"/>
              </w:rPr>
              <w:t>HSE</w:t>
            </w:r>
          </w:p>
        </w:tc>
        <w:tc>
          <w:tcPr>
            <w:tcW w:type="dxa" w:w="1624"/>
          </w:tcPr>
          <w:p>
            <w:pPr>
              <w:spacing w:after="0"/>
            </w:pPr>
            <w:r>
              <w:rPr>
                <w:sz w:val="15"/>
              </w:rPr>
              <w:t>15-Apr-2026</w:t>
            </w:r>
          </w:p>
        </w:tc>
      </w:tr>
      <w:tr>
        <w:tc>
          <w:tcPr>
            <w:tcW w:type="dxa" w:w="1624"/>
          </w:tcPr>
          <w:p>
            <w:pPr>
              <w:spacing w:after="0"/>
            </w:pPr>
            <w:r>
              <w:rPr>
                <w:sz w:val="15"/>
              </w:rPr>
              <w:t>M5</w:t>
            </w:r>
          </w:p>
        </w:tc>
        <w:tc>
          <w:tcPr>
            <w:tcW w:type="dxa" w:w="1624"/>
          </w:tcPr>
          <w:p>
            <w:pPr>
              <w:spacing w:after="0"/>
            </w:pPr>
            <w:r>
              <w:rPr>
                <w:sz w:val="15"/>
              </w:rPr>
              <w:t>LOTO: etiquetas y candados disponibles, pero auditorías de cumplimiento no regulares</w:t>
            </w:r>
          </w:p>
        </w:tc>
        <w:tc>
          <w:tcPr>
            <w:tcW w:type="dxa" w:w="1624"/>
          </w:tcPr>
          <w:p>
            <w:pPr>
              <w:spacing w:after="0"/>
            </w:pPr>
            <w:r>
              <w:rPr>
                <w:sz w:val="15"/>
              </w:rPr>
              <w:t>PTW/LOTO</w:t>
            </w:r>
          </w:p>
        </w:tc>
        <w:tc>
          <w:tcPr>
            <w:tcW w:type="dxa" w:w="1624"/>
          </w:tcPr>
          <w:p>
            <w:pPr>
              <w:spacing w:after="0"/>
            </w:pPr>
            <w:r>
              <w:rPr>
                <w:sz w:val="15"/>
              </w:rPr>
              <w:t>Riesgo de energización inadvertida.</w:t>
            </w:r>
          </w:p>
        </w:tc>
        <w:tc>
          <w:tcPr>
            <w:tcW w:type="dxa" w:w="1624"/>
          </w:tcPr>
          <w:p>
            <w:pPr>
              <w:spacing w:after="0"/>
            </w:pPr>
            <w:r>
              <w:rPr>
                <w:sz w:val="15"/>
              </w:rPr>
              <w:t>Mantenimiento</w:t>
            </w:r>
          </w:p>
        </w:tc>
        <w:tc>
          <w:tcPr>
            <w:tcW w:type="dxa" w:w="1624"/>
          </w:tcPr>
          <w:p>
            <w:pPr>
              <w:spacing w:after="0"/>
            </w:pPr>
            <w:r>
              <w:rPr>
                <w:sz w:val="15"/>
              </w:rPr>
              <w:t>15-Apr-2026</w:t>
            </w:r>
          </w:p>
        </w:tc>
      </w:tr>
      <w:tr>
        <w:tc>
          <w:tcPr>
            <w:tcW w:type="dxa" w:w="1624"/>
          </w:tcPr>
          <w:p>
            <w:pPr>
              <w:spacing w:after="0"/>
            </w:pPr>
            <w:r>
              <w:rPr>
                <w:sz w:val="15"/>
              </w:rPr>
              <w:t>M6</w:t>
            </w:r>
          </w:p>
        </w:tc>
        <w:tc>
          <w:tcPr>
            <w:tcW w:type="dxa" w:w="1624"/>
          </w:tcPr>
          <w:p>
            <w:pPr>
              <w:spacing w:after="0"/>
            </w:pPr>
            <w:r>
              <w:rPr>
                <w:sz w:val="15"/>
              </w:rPr>
              <w:t>Gestión de cambios organizacionales (rotación de roles) sin evaluación de riesgo PSM</w:t>
            </w:r>
          </w:p>
        </w:tc>
        <w:tc>
          <w:tcPr>
            <w:tcW w:type="dxa" w:w="1624"/>
          </w:tcPr>
          <w:p>
            <w:pPr>
              <w:spacing w:after="0"/>
            </w:pPr>
            <w:r>
              <w:rPr>
                <w:sz w:val="15"/>
              </w:rPr>
              <w:t>Management</w:t>
            </w:r>
          </w:p>
        </w:tc>
        <w:tc>
          <w:tcPr>
            <w:tcW w:type="dxa" w:w="1624"/>
          </w:tcPr>
          <w:p>
            <w:pPr>
              <w:spacing w:after="0"/>
            </w:pPr>
            <w:r>
              <w:rPr>
                <w:sz w:val="15"/>
              </w:rPr>
              <w:t>Pérdida de conocimiento crítico.</w:t>
            </w:r>
          </w:p>
        </w:tc>
        <w:tc>
          <w:tcPr>
            <w:tcW w:type="dxa" w:w="1624"/>
          </w:tcPr>
          <w:p>
            <w:pPr>
              <w:spacing w:after="0"/>
            </w:pPr>
            <w:r>
              <w:rPr>
                <w:sz w:val="15"/>
              </w:rPr>
              <w:t>Operaciones</w:t>
            </w:r>
          </w:p>
        </w:tc>
        <w:tc>
          <w:tcPr>
            <w:tcW w:type="dxa" w:w="1624"/>
          </w:tcPr>
          <w:p>
            <w:pPr>
              <w:spacing w:after="0"/>
            </w:pPr>
            <w:r>
              <w:rPr>
                <w:sz w:val="15"/>
              </w:rPr>
              <w:t>15-May-2026</w:t>
            </w:r>
          </w:p>
        </w:tc>
      </w:tr>
      <w:tr>
        <w:tc>
          <w:tcPr>
            <w:tcW w:type="dxa" w:w="1624"/>
          </w:tcPr>
          <w:p>
            <w:pPr>
              <w:spacing w:after="0"/>
            </w:pPr>
            <w:r>
              <w:rPr>
                <w:sz w:val="15"/>
              </w:rPr>
              <w:t>M7</w:t>
            </w:r>
          </w:p>
        </w:tc>
        <w:tc>
          <w:tcPr>
            <w:tcW w:type="dxa" w:w="1624"/>
          </w:tcPr>
          <w:p>
            <w:pPr>
              <w:spacing w:after="0"/>
            </w:pPr>
            <w:r>
              <w:rPr>
                <w:sz w:val="15"/>
              </w:rPr>
              <w:t>Registros de calibración de instrumentos críticos con trazabilidad parcial a patrones</w:t>
            </w:r>
          </w:p>
        </w:tc>
        <w:tc>
          <w:tcPr>
            <w:tcW w:type="dxa" w:w="1624"/>
          </w:tcPr>
          <w:p>
            <w:pPr>
              <w:spacing w:after="0"/>
            </w:pPr>
            <w:r>
              <w:rPr>
                <w:sz w:val="15"/>
              </w:rPr>
              <w:t>Mechanical Integrity</w:t>
            </w:r>
          </w:p>
        </w:tc>
        <w:tc>
          <w:tcPr>
            <w:tcW w:type="dxa" w:w="1624"/>
          </w:tcPr>
          <w:p>
            <w:pPr>
              <w:spacing w:after="0"/>
            </w:pPr>
            <w:r>
              <w:rPr>
                <w:sz w:val="15"/>
              </w:rPr>
              <w:t>Medición incorrecta.</w:t>
            </w:r>
          </w:p>
        </w:tc>
        <w:tc>
          <w:tcPr>
            <w:tcW w:type="dxa" w:w="1624"/>
          </w:tcPr>
          <w:p>
            <w:pPr>
              <w:spacing w:after="0"/>
            </w:pPr>
            <w:r>
              <w:rPr>
                <w:sz w:val="15"/>
              </w:rPr>
              <w:t>Instrumentación</w:t>
            </w:r>
          </w:p>
        </w:tc>
        <w:tc>
          <w:tcPr>
            <w:tcW w:type="dxa" w:w="1624"/>
          </w:tcPr>
          <w:p>
            <w:pPr>
              <w:spacing w:after="0"/>
            </w:pPr>
            <w:r>
              <w:rPr>
                <w:sz w:val="15"/>
              </w:rPr>
              <w:t>15-May-2026</w:t>
            </w:r>
          </w:p>
        </w:tc>
      </w:tr>
      <w:tr>
        <w:tc>
          <w:tcPr>
            <w:tcW w:type="dxa" w:w="1624"/>
          </w:tcPr>
          <w:p>
            <w:pPr>
              <w:spacing w:after="0"/>
            </w:pPr>
            <w:r>
              <w:rPr>
                <w:sz w:val="15"/>
              </w:rPr>
              <w:t>M8</w:t>
            </w:r>
          </w:p>
        </w:tc>
        <w:tc>
          <w:tcPr>
            <w:tcW w:type="dxa" w:w="1624"/>
          </w:tcPr>
          <w:p>
            <w:pPr>
              <w:spacing w:after="0"/>
            </w:pPr>
            <w:r>
              <w:rPr>
                <w:sz w:val="15"/>
              </w:rPr>
              <w:t>Análisis de causa de fallas repetitivas en bombas auxiliares sin plan definitivo</w:t>
            </w:r>
          </w:p>
        </w:tc>
        <w:tc>
          <w:tcPr>
            <w:tcW w:type="dxa" w:w="1624"/>
          </w:tcPr>
          <w:p>
            <w:pPr>
              <w:spacing w:after="0"/>
            </w:pPr>
            <w:r>
              <w:rPr>
                <w:sz w:val="15"/>
              </w:rPr>
              <w:t>Reliability</w:t>
            </w:r>
          </w:p>
        </w:tc>
        <w:tc>
          <w:tcPr>
            <w:tcW w:type="dxa" w:w="1624"/>
          </w:tcPr>
          <w:p>
            <w:pPr>
              <w:spacing w:after="0"/>
            </w:pPr>
            <w:r>
              <w:rPr>
                <w:sz w:val="15"/>
              </w:rPr>
              <w:t>Impacto operativo y potencial de fugas.</w:t>
            </w:r>
          </w:p>
        </w:tc>
        <w:tc>
          <w:tcPr>
            <w:tcW w:type="dxa" w:w="1624"/>
          </w:tcPr>
          <w:p>
            <w:pPr>
              <w:spacing w:after="0"/>
            </w:pPr>
            <w:r>
              <w:rPr>
                <w:sz w:val="15"/>
              </w:rPr>
              <w:t>Mantenimiento</w:t>
            </w:r>
          </w:p>
        </w:tc>
        <w:tc>
          <w:tcPr>
            <w:tcW w:type="dxa" w:w="1624"/>
          </w:tcPr>
          <w:p>
            <w:pPr>
              <w:spacing w:after="0"/>
            </w:pPr>
            <w:r>
              <w:rPr>
                <w:sz w:val="15"/>
              </w:rPr>
              <w:t>14-Jun-2026</w:t>
            </w:r>
          </w:p>
        </w:tc>
      </w:tr>
      <w:tr>
        <w:tc>
          <w:tcPr>
            <w:tcW w:type="dxa" w:w="1624"/>
          </w:tcPr>
          <w:p>
            <w:pPr>
              <w:spacing w:after="0"/>
            </w:pPr>
            <w:r>
              <w:rPr>
                <w:sz w:val="15"/>
              </w:rPr>
              <w:t>M9</w:t>
            </w:r>
          </w:p>
        </w:tc>
        <w:tc>
          <w:tcPr>
            <w:tcW w:type="dxa" w:w="1624"/>
          </w:tcPr>
          <w:p>
            <w:pPr>
              <w:spacing w:after="0"/>
            </w:pPr>
            <w:r>
              <w:rPr>
                <w:sz w:val="15"/>
              </w:rPr>
              <w:t>Gestión de cambios en procedimientos: comunicación a turnos no sistemática</w:t>
            </w:r>
          </w:p>
        </w:tc>
        <w:tc>
          <w:tcPr>
            <w:tcW w:type="dxa" w:w="1624"/>
          </w:tcPr>
          <w:p>
            <w:pPr>
              <w:spacing w:after="0"/>
            </w:pPr>
            <w:r>
              <w:rPr>
                <w:sz w:val="15"/>
              </w:rPr>
              <w:t>Procedures/Training</w:t>
            </w:r>
          </w:p>
        </w:tc>
        <w:tc>
          <w:tcPr>
            <w:tcW w:type="dxa" w:w="1624"/>
          </w:tcPr>
          <w:p>
            <w:pPr>
              <w:spacing w:after="0"/>
            </w:pPr>
            <w:r>
              <w:rPr>
                <w:sz w:val="15"/>
              </w:rPr>
              <w:t>Ejecución inconsistente.</w:t>
            </w:r>
          </w:p>
        </w:tc>
        <w:tc>
          <w:tcPr>
            <w:tcW w:type="dxa" w:w="1624"/>
          </w:tcPr>
          <w:p>
            <w:pPr>
              <w:spacing w:after="0"/>
            </w:pPr>
            <w:r>
              <w:rPr>
                <w:sz w:val="15"/>
              </w:rPr>
              <w:t>Operaciones</w:t>
            </w:r>
          </w:p>
        </w:tc>
        <w:tc>
          <w:tcPr>
            <w:tcW w:type="dxa" w:w="1624"/>
          </w:tcPr>
          <w:p>
            <w:pPr>
              <w:spacing w:after="0"/>
            </w:pPr>
            <w:r>
              <w:rPr>
                <w:sz w:val="15"/>
              </w:rPr>
              <w:t>15-Apr-2026</w:t>
            </w:r>
          </w:p>
        </w:tc>
      </w:tr>
      <w:tr>
        <w:tc>
          <w:tcPr>
            <w:tcW w:type="dxa" w:w="1624"/>
          </w:tcPr>
          <w:p>
            <w:pPr>
              <w:spacing w:after="0"/>
            </w:pPr>
            <w:r>
              <w:rPr>
                <w:sz w:val="15"/>
              </w:rPr>
              <w:t>M10</w:t>
            </w:r>
          </w:p>
        </w:tc>
        <w:tc>
          <w:tcPr>
            <w:tcW w:type="dxa" w:w="1624"/>
          </w:tcPr>
          <w:p>
            <w:pPr>
              <w:spacing w:after="0"/>
            </w:pPr>
            <w:r>
              <w:rPr>
                <w:sz w:val="15"/>
              </w:rPr>
              <w:t>Programa de inspección de tanques atmosféricos sin evaluación RBI básica</w:t>
            </w:r>
          </w:p>
        </w:tc>
        <w:tc>
          <w:tcPr>
            <w:tcW w:type="dxa" w:w="1624"/>
          </w:tcPr>
          <w:p>
            <w:pPr>
              <w:spacing w:after="0"/>
            </w:pPr>
            <w:r>
              <w:rPr>
                <w:sz w:val="15"/>
              </w:rPr>
              <w:t>Mechanical Integrity</w:t>
            </w:r>
          </w:p>
        </w:tc>
        <w:tc>
          <w:tcPr>
            <w:tcW w:type="dxa" w:w="1624"/>
          </w:tcPr>
          <w:p>
            <w:pPr>
              <w:spacing w:after="0"/>
            </w:pPr>
            <w:r>
              <w:rPr>
                <w:sz w:val="15"/>
              </w:rPr>
              <w:t>Fuga por corrosión.</w:t>
            </w:r>
          </w:p>
        </w:tc>
        <w:tc>
          <w:tcPr>
            <w:tcW w:type="dxa" w:w="1624"/>
          </w:tcPr>
          <w:p>
            <w:pPr>
              <w:spacing w:after="0"/>
            </w:pPr>
            <w:r>
              <w:rPr>
                <w:sz w:val="15"/>
              </w:rPr>
              <w:t>Integridad Mecánica</w:t>
            </w:r>
          </w:p>
        </w:tc>
        <w:tc>
          <w:tcPr>
            <w:tcW w:type="dxa" w:w="1624"/>
          </w:tcPr>
          <w:p>
            <w:pPr>
              <w:spacing w:after="0"/>
            </w:pPr>
            <w:r>
              <w:rPr>
                <w:sz w:val="15"/>
              </w:rPr>
              <w:t>14-Jul-2026</w:t>
            </w:r>
          </w:p>
        </w:tc>
      </w:tr>
      <w:tr>
        <w:tc>
          <w:tcPr>
            <w:tcW w:type="dxa" w:w="1624"/>
          </w:tcPr>
          <w:p>
            <w:pPr>
              <w:spacing w:after="0"/>
            </w:pPr>
            <w:r>
              <w:rPr>
                <w:sz w:val="15"/>
              </w:rPr>
              <w:t>M11</w:t>
            </w:r>
          </w:p>
        </w:tc>
        <w:tc>
          <w:tcPr>
            <w:tcW w:type="dxa" w:w="1624"/>
          </w:tcPr>
          <w:p>
            <w:pPr>
              <w:spacing w:after="0"/>
            </w:pPr>
            <w:r>
              <w:rPr>
                <w:sz w:val="15"/>
              </w:rPr>
              <w:t>Gestión de repuestos críticos sin lista y mínimos por criticidad</w:t>
            </w:r>
          </w:p>
        </w:tc>
        <w:tc>
          <w:tcPr>
            <w:tcW w:type="dxa" w:w="1624"/>
          </w:tcPr>
          <w:p>
            <w:pPr>
              <w:spacing w:after="0"/>
            </w:pPr>
            <w:r>
              <w:rPr>
                <w:sz w:val="15"/>
              </w:rPr>
              <w:t>Maintenance</w:t>
            </w:r>
          </w:p>
        </w:tc>
        <w:tc>
          <w:tcPr>
            <w:tcW w:type="dxa" w:w="1624"/>
          </w:tcPr>
          <w:p>
            <w:pPr>
              <w:spacing w:after="0"/>
            </w:pPr>
            <w:r>
              <w:rPr>
                <w:sz w:val="15"/>
              </w:rPr>
              <w:t>Retraso en corrección de condiciones inseguras.</w:t>
            </w:r>
          </w:p>
        </w:tc>
        <w:tc>
          <w:tcPr>
            <w:tcW w:type="dxa" w:w="1624"/>
          </w:tcPr>
          <w:p>
            <w:pPr>
              <w:spacing w:after="0"/>
            </w:pPr>
            <w:r>
              <w:rPr>
                <w:sz w:val="15"/>
              </w:rPr>
              <w:t>Mantenimiento</w:t>
            </w:r>
          </w:p>
        </w:tc>
        <w:tc>
          <w:tcPr>
            <w:tcW w:type="dxa" w:w="1624"/>
          </w:tcPr>
          <w:p>
            <w:pPr>
              <w:spacing w:after="0"/>
            </w:pPr>
            <w:r>
              <w:rPr>
                <w:sz w:val="15"/>
              </w:rPr>
              <w:t>14-Jun-2026</w:t>
            </w:r>
          </w:p>
        </w:tc>
      </w:tr>
      <w:tr>
        <w:tc>
          <w:tcPr>
            <w:tcW w:type="dxa" w:w="1624"/>
          </w:tcPr>
          <w:p>
            <w:pPr>
              <w:spacing w:after="0"/>
            </w:pPr>
            <w:r>
              <w:rPr>
                <w:sz w:val="15"/>
              </w:rPr>
              <w:t>M12</w:t>
            </w:r>
          </w:p>
        </w:tc>
        <w:tc>
          <w:tcPr>
            <w:tcW w:type="dxa" w:w="1624"/>
          </w:tcPr>
          <w:p>
            <w:pPr>
              <w:spacing w:after="0"/>
            </w:pPr>
            <w:r>
              <w:rPr>
                <w:sz w:val="15"/>
              </w:rPr>
              <w:t>Señalización y demarcación de rutas de evacuación requiere actualización en área de turbinas</w:t>
            </w:r>
          </w:p>
        </w:tc>
        <w:tc>
          <w:tcPr>
            <w:tcW w:type="dxa" w:w="1624"/>
          </w:tcPr>
          <w:p>
            <w:pPr>
              <w:spacing w:after="0"/>
            </w:pPr>
            <w:r>
              <w:rPr>
                <w:sz w:val="15"/>
              </w:rPr>
              <w:t>Emergency Planning</w:t>
            </w:r>
          </w:p>
        </w:tc>
        <w:tc>
          <w:tcPr>
            <w:tcW w:type="dxa" w:w="1624"/>
          </w:tcPr>
          <w:p>
            <w:pPr>
              <w:spacing w:after="0"/>
            </w:pPr>
            <w:r>
              <w:rPr>
                <w:sz w:val="15"/>
              </w:rPr>
              <w:t>Confusión en evacuación.</w:t>
            </w:r>
          </w:p>
        </w:tc>
        <w:tc>
          <w:tcPr>
            <w:tcW w:type="dxa" w:w="1624"/>
          </w:tcPr>
          <w:p>
            <w:pPr>
              <w:spacing w:after="0"/>
            </w:pPr>
            <w:r>
              <w:rPr>
                <w:sz w:val="15"/>
              </w:rPr>
              <w:t>HSE</w:t>
            </w:r>
          </w:p>
        </w:tc>
        <w:tc>
          <w:tcPr>
            <w:tcW w:type="dxa" w:w="1624"/>
          </w:tcPr>
          <w:p>
            <w:pPr>
              <w:spacing w:after="0"/>
            </w:pPr>
            <w:r>
              <w:rPr>
                <w:sz w:val="15"/>
              </w:rPr>
              <w:t>16-Mar-2026</w:t>
            </w:r>
          </w:p>
        </w:tc>
      </w:tr>
      <w:tr>
        <w:tc>
          <w:tcPr>
            <w:tcW w:type="dxa" w:w="1624"/>
          </w:tcPr>
          <w:p>
            <w:pPr>
              <w:spacing w:after="0"/>
            </w:pPr>
            <w:r>
              <w:rPr>
                <w:sz w:val="15"/>
              </w:rPr>
              <w:t>M13</w:t>
            </w:r>
          </w:p>
        </w:tc>
        <w:tc>
          <w:tcPr>
            <w:tcW w:type="dxa" w:w="1624"/>
          </w:tcPr>
          <w:p>
            <w:pPr>
              <w:spacing w:after="0"/>
            </w:pPr>
            <w:r>
              <w:rPr>
                <w:sz w:val="15"/>
              </w:rPr>
              <w:t>Revisión de integridad de mangueras/abrazaderas en sistemas auxiliares no documentada</w:t>
            </w:r>
          </w:p>
        </w:tc>
        <w:tc>
          <w:tcPr>
            <w:tcW w:type="dxa" w:w="1624"/>
          </w:tcPr>
          <w:p>
            <w:pPr>
              <w:spacing w:after="0"/>
            </w:pPr>
            <w:r>
              <w:rPr>
                <w:sz w:val="15"/>
              </w:rPr>
              <w:t>Mechanical Integrity</w:t>
            </w:r>
          </w:p>
        </w:tc>
        <w:tc>
          <w:tcPr>
            <w:tcW w:type="dxa" w:w="1624"/>
          </w:tcPr>
          <w:p>
            <w:pPr>
              <w:spacing w:after="0"/>
            </w:pPr>
            <w:r>
              <w:rPr>
                <w:sz w:val="15"/>
              </w:rPr>
              <w:t>Fugas menores repetitivas.</w:t>
            </w:r>
          </w:p>
        </w:tc>
        <w:tc>
          <w:tcPr>
            <w:tcW w:type="dxa" w:w="1624"/>
          </w:tcPr>
          <w:p>
            <w:pPr>
              <w:spacing w:after="0"/>
            </w:pPr>
            <w:r>
              <w:rPr>
                <w:sz w:val="15"/>
              </w:rPr>
              <w:t>Mantenimiento</w:t>
            </w:r>
          </w:p>
        </w:tc>
        <w:tc>
          <w:tcPr>
            <w:tcW w:type="dxa" w:w="1624"/>
          </w:tcPr>
          <w:p>
            <w:pPr>
              <w:spacing w:after="0"/>
            </w:pPr>
            <w:r>
              <w:rPr>
                <w:sz w:val="15"/>
              </w:rPr>
              <w:t>15-Apr-2026</w:t>
            </w:r>
          </w:p>
        </w:tc>
      </w:tr>
      <w:tr>
        <w:tc>
          <w:tcPr>
            <w:tcW w:type="dxa" w:w="1624"/>
          </w:tcPr>
          <w:p>
            <w:pPr>
              <w:spacing w:after="0"/>
            </w:pPr>
            <w:r>
              <w:rPr>
                <w:sz w:val="15"/>
              </w:rPr>
              <w:t>M14</w:t>
            </w:r>
          </w:p>
        </w:tc>
        <w:tc>
          <w:tcPr>
            <w:tcW w:type="dxa" w:w="1624"/>
          </w:tcPr>
          <w:p>
            <w:pPr>
              <w:spacing w:after="0"/>
            </w:pPr>
            <w:r>
              <w:rPr>
                <w:sz w:val="15"/>
              </w:rPr>
              <w:t>Gestión de cambios de proveedores críticos sin evaluación de impacto en seguridad de proceso</w:t>
            </w:r>
          </w:p>
        </w:tc>
        <w:tc>
          <w:tcPr>
            <w:tcW w:type="dxa" w:w="1624"/>
          </w:tcPr>
          <w:p>
            <w:pPr>
              <w:spacing w:after="0"/>
            </w:pPr>
            <w:r>
              <w:rPr>
                <w:sz w:val="15"/>
              </w:rPr>
              <w:t>Contractors/Management</w:t>
            </w:r>
          </w:p>
        </w:tc>
        <w:tc>
          <w:tcPr>
            <w:tcW w:type="dxa" w:w="1624"/>
          </w:tcPr>
          <w:p>
            <w:pPr>
              <w:spacing w:after="0"/>
            </w:pPr>
            <w:r>
              <w:rPr>
                <w:sz w:val="15"/>
              </w:rPr>
              <w:t>Calidad variable.</w:t>
            </w:r>
          </w:p>
        </w:tc>
        <w:tc>
          <w:tcPr>
            <w:tcW w:type="dxa" w:w="1624"/>
          </w:tcPr>
          <w:p>
            <w:pPr>
              <w:spacing w:after="0"/>
            </w:pPr>
            <w:r>
              <w:rPr>
                <w:sz w:val="15"/>
              </w:rPr>
              <w:t>Compras</w:t>
            </w:r>
          </w:p>
        </w:tc>
        <w:tc>
          <w:tcPr>
            <w:tcW w:type="dxa" w:w="1624"/>
          </w:tcPr>
          <w:p>
            <w:pPr>
              <w:spacing w:after="0"/>
            </w:pPr>
            <w:r>
              <w:rPr>
                <w:sz w:val="15"/>
              </w:rPr>
              <w:t>14-Jun-2026</w:t>
            </w:r>
          </w:p>
        </w:tc>
      </w:tr>
      <w:tr>
        <w:tc>
          <w:tcPr>
            <w:tcW w:type="dxa" w:w="1624"/>
          </w:tcPr>
          <w:p>
            <w:pPr>
              <w:spacing w:after="0"/>
            </w:pPr>
            <w:r>
              <w:rPr>
                <w:sz w:val="15"/>
              </w:rPr>
              <w:t>M15</w:t>
            </w:r>
          </w:p>
        </w:tc>
        <w:tc>
          <w:tcPr>
            <w:tcW w:type="dxa" w:w="1624"/>
          </w:tcPr>
          <w:p>
            <w:pPr>
              <w:spacing w:after="0"/>
            </w:pPr>
            <w:r>
              <w:rPr>
                <w:sz w:val="15"/>
              </w:rPr>
              <w:t>Indicadores PSM existentes, pero sin revisión ejecutiva con cadencia definida</w:t>
            </w:r>
          </w:p>
        </w:tc>
        <w:tc>
          <w:tcPr>
            <w:tcW w:type="dxa" w:w="1624"/>
          </w:tcPr>
          <w:p>
            <w:pPr>
              <w:spacing w:after="0"/>
            </w:pPr>
            <w:r>
              <w:rPr>
                <w:sz w:val="15"/>
              </w:rPr>
              <w:t>Metrics</w:t>
            </w:r>
          </w:p>
        </w:tc>
        <w:tc>
          <w:tcPr>
            <w:tcW w:type="dxa" w:w="1624"/>
          </w:tcPr>
          <w:p>
            <w:pPr>
              <w:spacing w:after="0"/>
            </w:pPr>
            <w:r>
              <w:rPr>
                <w:sz w:val="15"/>
              </w:rPr>
              <w:t>Falta de gobernanza.</w:t>
            </w:r>
          </w:p>
        </w:tc>
        <w:tc>
          <w:tcPr>
            <w:tcW w:type="dxa" w:w="1624"/>
          </w:tcPr>
          <w:p>
            <w:pPr>
              <w:spacing w:after="0"/>
            </w:pPr>
            <w:r>
              <w:rPr>
                <w:sz w:val="15"/>
              </w:rPr>
              <w:t>Dirección de Planta</w:t>
            </w:r>
          </w:p>
        </w:tc>
        <w:tc>
          <w:tcPr>
            <w:tcW w:type="dxa" w:w="1624"/>
          </w:tcPr>
          <w:p>
            <w:pPr>
              <w:spacing w:after="0"/>
            </w:pPr>
            <w:r>
              <w:rPr>
                <w:sz w:val="15"/>
              </w:rPr>
              <w:t>15-Apr-2026</w:t>
            </w:r>
          </w:p>
        </w:tc>
      </w:tr>
      <w:tr>
        <w:tc>
          <w:tcPr>
            <w:tcW w:type="dxa" w:w="1624"/>
          </w:tcPr>
          <w:p>
            <w:pPr>
              <w:spacing w:after="0"/>
            </w:pPr>
            <w:r>
              <w:rPr>
                <w:sz w:val="15"/>
              </w:rPr>
              <w:t>B1</w:t>
            </w:r>
          </w:p>
        </w:tc>
        <w:tc>
          <w:tcPr>
            <w:tcW w:type="dxa" w:w="1624"/>
          </w:tcPr>
          <w:p>
            <w:pPr>
              <w:spacing w:after="0"/>
            </w:pPr>
            <w:r>
              <w:rPr>
                <w:sz w:val="15"/>
              </w:rPr>
              <w:t>Formato de permiso de trabajo: oportunidad de simplificación y digitalización</w:t>
            </w:r>
          </w:p>
        </w:tc>
        <w:tc>
          <w:tcPr>
            <w:tcW w:type="dxa" w:w="1624"/>
          </w:tcPr>
          <w:p>
            <w:pPr>
              <w:spacing w:after="0"/>
            </w:pPr>
            <w:r>
              <w:rPr>
                <w:sz w:val="15"/>
              </w:rPr>
              <w:t>PTW</w:t>
            </w:r>
          </w:p>
        </w:tc>
        <w:tc>
          <w:tcPr>
            <w:tcW w:type="dxa" w:w="1624"/>
          </w:tcPr>
          <w:p>
            <w:pPr>
              <w:spacing w:after="0"/>
            </w:pPr>
            <w:r>
              <w:rPr>
                <w:sz w:val="15"/>
              </w:rPr>
              <w:t>Eficiencia.</w:t>
            </w:r>
          </w:p>
        </w:tc>
        <w:tc>
          <w:tcPr>
            <w:tcW w:type="dxa" w:w="1624"/>
          </w:tcPr>
          <w:p>
            <w:pPr>
              <w:spacing w:after="0"/>
            </w:pPr>
            <w:r>
              <w:rPr>
                <w:sz w:val="15"/>
              </w:rPr>
              <w:t>HSE</w:t>
            </w:r>
          </w:p>
        </w:tc>
        <w:tc>
          <w:tcPr>
            <w:tcW w:type="dxa" w:w="1624"/>
          </w:tcPr>
          <w:p>
            <w:pPr>
              <w:spacing w:after="0"/>
            </w:pPr>
            <w:r>
              <w:rPr>
                <w:sz w:val="15"/>
              </w:rPr>
              <w:t>14-Jul-2026</w:t>
            </w:r>
          </w:p>
        </w:tc>
      </w:tr>
      <w:tr>
        <w:tc>
          <w:tcPr>
            <w:tcW w:type="dxa" w:w="1624"/>
          </w:tcPr>
          <w:p>
            <w:pPr>
              <w:spacing w:after="0"/>
            </w:pPr>
            <w:r>
              <w:rPr>
                <w:sz w:val="15"/>
              </w:rPr>
              <w:t>B2</w:t>
            </w:r>
          </w:p>
        </w:tc>
        <w:tc>
          <w:tcPr>
            <w:tcW w:type="dxa" w:w="1624"/>
          </w:tcPr>
          <w:p>
            <w:pPr>
              <w:spacing w:after="0"/>
            </w:pPr>
            <w:r>
              <w:rPr>
                <w:sz w:val="15"/>
              </w:rPr>
              <w:t>Se recomienda estandarizar nomenclatura de tags en reportes operativos</w:t>
            </w:r>
          </w:p>
        </w:tc>
        <w:tc>
          <w:tcPr>
            <w:tcW w:type="dxa" w:w="1624"/>
          </w:tcPr>
          <w:p>
            <w:pPr>
              <w:spacing w:after="0"/>
            </w:pPr>
            <w:r>
              <w:rPr>
                <w:sz w:val="15"/>
              </w:rPr>
              <w:t>PSI</w:t>
            </w:r>
          </w:p>
        </w:tc>
        <w:tc>
          <w:tcPr>
            <w:tcW w:type="dxa" w:w="1624"/>
          </w:tcPr>
          <w:p>
            <w:pPr>
              <w:spacing w:after="0"/>
            </w:pPr>
            <w:r>
              <w:rPr>
                <w:sz w:val="15"/>
              </w:rPr>
              <w:t>Claridad.</w:t>
            </w:r>
          </w:p>
        </w:tc>
        <w:tc>
          <w:tcPr>
            <w:tcW w:type="dxa" w:w="1624"/>
          </w:tcPr>
          <w:p>
            <w:pPr>
              <w:spacing w:after="0"/>
            </w:pPr>
            <w:r>
              <w:rPr>
                <w:sz w:val="15"/>
              </w:rPr>
              <w:t>Operaciones</w:t>
            </w:r>
          </w:p>
        </w:tc>
        <w:tc>
          <w:tcPr>
            <w:tcW w:type="dxa" w:w="1624"/>
          </w:tcPr>
          <w:p>
            <w:pPr>
              <w:spacing w:after="0"/>
            </w:pPr>
            <w:r>
              <w:rPr>
                <w:sz w:val="15"/>
              </w:rPr>
              <w:t>14-Jul-2026</w:t>
            </w:r>
          </w:p>
        </w:tc>
      </w:tr>
      <w:tr>
        <w:tc>
          <w:tcPr>
            <w:tcW w:type="dxa" w:w="1624"/>
          </w:tcPr>
          <w:p>
            <w:pPr>
              <w:spacing w:after="0"/>
            </w:pPr>
            <w:r>
              <w:rPr>
                <w:sz w:val="15"/>
              </w:rPr>
              <w:t>B3</w:t>
            </w:r>
          </w:p>
        </w:tc>
        <w:tc>
          <w:tcPr>
            <w:tcW w:type="dxa" w:w="1624"/>
          </w:tcPr>
          <w:p>
            <w:pPr>
              <w:spacing w:after="0"/>
            </w:pPr>
            <w:r>
              <w:rPr>
                <w:sz w:val="15"/>
              </w:rPr>
              <w:t>Mejorar orden y limpieza (5S) en cuarto de herramientas de mantenimiento</w:t>
            </w:r>
          </w:p>
        </w:tc>
        <w:tc>
          <w:tcPr>
            <w:tcW w:type="dxa" w:w="1624"/>
          </w:tcPr>
          <w:p>
            <w:pPr>
              <w:spacing w:after="0"/>
            </w:pPr>
            <w:r>
              <w:rPr>
                <w:sz w:val="15"/>
              </w:rPr>
              <w:t>Housekeeping</w:t>
            </w:r>
          </w:p>
        </w:tc>
        <w:tc>
          <w:tcPr>
            <w:tcW w:type="dxa" w:w="1624"/>
          </w:tcPr>
          <w:p>
            <w:pPr>
              <w:spacing w:after="0"/>
            </w:pPr>
            <w:r>
              <w:rPr>
                <w:sz w:val="15"/>
              </w:rPr>
              <w:t>Riesgo menor.</w:t>
            </w:r>
          </w:p>
        </w:tc>
        <w:tc>
          <w:tcPr>
            <w:tcW w:type="dxa" w:w="1624"/>
          </w:tcPr>
          <w:p>
            <w:pPr>
              <w:spacing w:after="0"/>
            </w:pPr>
            <w:r>
              <w:rPr>
                <w:sz w:val="15"/>
              </w:rPr>
              <w:t>Mantenimiento</w:t>
            </w:r>
          </w:p>
        </w:tc>
        <w:tc>
          <w:tcPr>
            <w:tcW w:type="dxa" w:w="1624"/>
          </w:tcPr>
          <w:p>
            <w:pPr>
              <w:spacing w:after="0"/>
            </w:pPr>
            <w:r>
              <w:rPr>
                <w:sz w:val="15"/>
              </w:rPr>
              <w:t>15-May-2026</w:t>
            </w:r>
          </w:p>
        </w:tc>
      </w:tr>
      <w:tr>
        <w:tc>
          <w:tcPr>
            <w:tcW w:type="dxa" w:w="1624"/>
          </w:tcPr>
          <w:p>
            <w:pPr>
              <w:spacing w:after="0"/>
            </w:pPr>
            <w:r>
              <w:rPr>
                <w:sz w:val="15"/>
              </w:rPr>
              <w:t>B4</w:t>
            </w:r>
          </w:p>
        </w:tc>
        <w:tc>
          <w:tcPr>
            <w:tcW w:type="dxa" w:w="1624"/>
          </w:tcPr>
          <w:p>
            <w:pPr>
              <w:spacing w:after="0"/>
            </w:pPr>
            <w:r>
              <w:rPr>
                <w:sz w:val="15"/>
              </w:rPr>
              <w:t>Actualización de organigrama PSM en tableros informativos</w:t>
            </w:r>
          </w:p>
        </w:tc>
        <w:tc>
          <w:tcPr>
            <w:tcW w:type="dxa" w:w="1624"/>
          </w:tcPr>
          <w:p>
            <w:pPr>
              <w:spacing w:after="0"/>
            </w:pPr>
            <w:r>
              <w:rPr>
                <w:sz w:val="15"/>
              </w:rPr>
              <w:t>Management</w:t>
            </w:r>
          </w:p>
        </w:tc>
        <w:tc>
          <w:tcPr>
            <w:tcW w:type="dxa" w:w="1624"/>
          </w:tcPr>
          <w:p>
            <w:pPr>
              <w:spacing w:after="0"/>
            </w:pPr>
            <w:r>
              <w:rPr>
                <w:sz w:val="15"/>
              </w:rPr>
              <w:t>Comunicación.</w:t>
            </w:r>
          </w:p>
        </w:tc>
        <w:tc>
          <w:tcPr>
            <w:tcW w:type="dxa" w:w="1624"/>
          </w:tcPr>
          <w:p>
            <w:pPr>
              <w:spacing w:after="0"/>
            </w:pPr>
            <w:r>
              <w:rPr>
                <w:sz w:val="15"/>
              </w:rPr>
              <w:t>HSE</w:t>
            </w:r>
          </w:p>
        </w:tc>
        <w:tc>
          <w:tcPr>
            <w:tcW w:type="dxa" w:w="1624"/>
          </w:tcPr>
          <w:p>
            <w:pPr>
              <w:spacing w:after="0"/>
            </w:pPr>
            <w:r>
              <w:rPr>
                <w:sz w:val="15"/>
              </w:rPr>
              <w:t>16-Mar-2026</w:t>
            </w:r>
          </w:p>
        </w:tc>
      </w:tr>
      <w:tr>
        <w:tc>
          <w:tcPr>
            <w:tcW w:type="dxa" w:w="1624"/>
          </w:tcPr>
          <w:p>
            <w:pPr>
              <w:spacing w:after="0"/>
            </w:pPr>
            <w:r>
              <w:rPr>
                <w:sz w:val="15"/>
              </w:rPr>
              <w:t>B5</w:t>
            </w:r>
          </w:p>
        </w:tc>
        <w:tc>
          <w:tcPr>
            <w:tcW w:type="dxa" w:w="1624"/>
          </w:tcPr>
          <w:p>
            <w:pPr>
              <w:spacing w:after="0"/>
            </w:pPr>
            <w:r>
              <w:rPr>
                <w:sz w:val="15"/>
              </w:rPr>
              <w:t>Estandarizar plantilla de minutas de comité PSM</w:t>
            </w:r>
          </w:p>
        </w:tc>
        <w:tc>
          <w:tcPr>
            <w:tcW w:type="dxa" w:w="1624"/>
          </w:tcPr>
          <w:p>
            <w:pPr>
              <w:spacing w:after="0"/>
            </w:pPr>
            <w:r>
              <w:rPr>
                <w:sz w:val="15"/>
              </w:rPr>
              <w:t>Management</w:t>
            </w:r>
          </w:p>
        </w:tc>
        <w:tc>
          <w:tcPr>
            <w:tcW w:type="dxa" w:w="1624"/>
          </w:tcPr>
          <w:p>
            <w:pPr>
              <w:spacing w:after="0"/>
            </w:pPr>
            <w:r>
              <w:rPr>
                <w:sz w:val="15"/>
              </w:rPr>
              <w:t>Trazabilidad.</w:t>
            </w:r>
          </w:p>
        </w:tc>
        <w:tc>
          <w:tcPr>
            <w:tcW w:type="dxa" w:w="1624"/>
          </w:tcPr>
          <w:p>
            <w:pPr>
              <w:spacing w:after="0"/>
            </w:pPr>
            <w:r>
              <w:rPr>
                <w:sz w:val="15"/>
              </w:rPr>
              <w:t>HSE</w:t>
            </w:r>
          </w:p>
        </w:tc>
        <w:tc>
          <w:tcPr>
            <w:tcW w:type="dxa" w:w="1624"/>
          </w:tcPr>
          <w:p>
            <w:pPr>
              <w:spacing w:after="0"/>
            </w:pPr>
            <w:r>
              <w:rPr>
                <w:sz w:val="15"/>
              </w:rPr>
              <w:t>15-Apr-2026</w:t>
            </w:r>
          </w:p>
        </w:tc>
      </w:tr>
      <w:tr>
        <w:tc>
          <w:tcPr>
            <w:tcW w:type="dxa" w:w="1624"/>
          </w:tcPr>
          <w:p>
            <w:pPr>
              <w:spacing w:after="0"/>
            </w:pPr>
            <w:r>
              <w:rPr>
                <w:sz w:val="15"/>
              </w:rPr>
              <w:t>B6</w:t>
            </w:r>
          </w:p>
        </w:tc>
        <w:tc>
          <w:tcPr>
            <w:tcW w:type="dxa" w:w="1624"/>
          </w:tcPr>
          <w:p>
            <w:pPr>
              <w:spacing w:after="0"/>
            </w:pPr>
            <w:r>
              <w:rPr>
                <w:sz w:val="15"/>
              </w:rPr>
              <w:t>Oportunidad de incorporar lecciones aprendidas en inducción de nuevos ingresos</w:t>
            </w:r>
          </w:p>
        </w:tc>
        <w:tc>
          <w:tcPr>
            <w:tcW w:type="dxa" w:w="1624"/>
          </w:tcPr>
          <w:p>
            <w:pPr>
              <w:spacing w:after="0"/>
            </w:pPr>
            <w:r>
              <w:rPr>
                <w:sz w:val="15"/>
              </w:rPr>
              <w:t>Training</w:t>
            </w:r>
          </w:p>
        </w:tc>
        <w:tc>
          <w:tcPr>
            <w:tcW w:type="dxa" w:w="1624"/>
          </w:tcPr>
          <w:p>
            <w:pPr>
              <w:spacing w:after="0"/>
            </w:pPr>
            <w:r>
              <w:rPr>
                <w:sz w:val="15"/>
              </w:rPr>
              <w:t>Cultura.</w:t>
            </w:r>
          </w:p>
        </w:tc>
        <w:tc>
          <w:tcPr>
            <w:tcW w:type="dxa" w:w="1624"/>
          </w:tcPr>
          <w:p>
            <w:pPr>
              <w:spacing w:after="0"/>
            </w:pPr>
            <w:r>
              <w:rPr>
                <w:sz w:val="15"/>
              </w:rPr>
              <w:t>RRHH</w:t>
            </w:r>
          </w:p>
        </w:tc>
        <w:tc>
          <w:tcPr>
            <w:tcW w:type="dxa" w:w="1624"/>
          </w:tcPr>
          <w:p>
            <w:pPr>
              <w:spacing w:after="0"/>
            </w:pPr>
            <w:r>
              <w:rPr>
                <w:sz w:val="15"/>
              </w:rPr>
              <w:t>15-May-2026</w:t>
            </w:r>
          </w:p>
        </w:tc>
      </w:tr>
      <w:tr>
        <w:tc>
          <w:tcPr>
            <w:tcW w:type="dxa" w:w="1624"/>
          </w:tcPr>
          <w:p>
            <w:pPr>
              <w:spacing w:after="0"/>
            </w:pPr>
            <w:r>
              <w:rPr>
                <w:sz w:val="15"/>
              </w:rPr>
              <w:t>B7</w:t>
            </w:r>
          </w:p>
        </w:tc>
        <w:tc>
          <w:tcPr>
            <w:tcW w:type="dxa" w:w="1624"/>
          </w:tcPr>
          <w:p>
            <w:pPr>
              <w:spacing w:after="0"/>
            </w:pPr>
            <w:r>
              <w:rPr>
                <w:sz w:val="15"/>
              </w:rPr>
              <w:t>Se recomienda mejorar señalización de EPP requerido en 2 accesos</w:t>
            </w:r>
          </w:p>
        </w:tc>
        <w:tc>
          <w:tcPr>
            <w:tcW w:type="dxa" w:w="1624"/>
          </w:tcPr>
          <w:p>
            <w:pPr>
              <w:spacing w:after="0"/>
            </w:pPr>
            <w:r>
              <w:rPr>
                <w:sz w:val="15"/>
              </w:rPr>
              <w:t>HSE</w:t>
            </w:r>
          </w:p>
        </w:tc>
        <w:tc>
          <w:tcPr>
            <w:tcW w:type="dxa" w:w="1624"/>
          </w:tcPr>
          <w:p>
            <w:pPr>
              <w:spacing w:after="0"/>
            </w:pPr>
            <w:r>
              <w:rPr>
                <w:sz w:val="15"/>
              </w:rPr>
              <w:t>Cumplimiento.</w:t>
            </w:r>
          </w:p>
        </w:tc>
        <w:tc>
          <w:tcPr>
            <w:tcW w:type="dxa" w:w="1624"/>
          </w:tcPr>
          <w:p>
            <w:pPr>
              <w:spacing w:after="0"/>
            </w:pPr>
            <w:r>
              <w:rPr>
                <w:sz w:val="15"/>
              </w:rPr>
              <w:t>HSE</w:t>
            </w:r>
          </w:p>
        </w:tc>
        <w:tc>
          <w:tcPr>
            <w:tcW w:type="dxa" w:w="1624"/>
          </w:tcPr>
          <w:p>
            <w:pPr>
              <w:spacing w:after="0"/>
            </w:pPr>
            <w:r>
              <w:rPr>
                <w:sz w:val="15"/>
              </w:rPr>
              <w:t>16-Mar-2026</w:t>
            </w:r>
          </w:p>
        </w:tc>
      </w:tr>
    </w:tbl>
    <w:p/>
    <w:p>
      <w:r>
        <w:rPr>
          <w:i/>
        </w:rPr>
        <w:t>Fin del documento.</w:t>
      </w:r>
    </w:p>
    <w:sectPr w:rsidR="00FC693F" w:rsidRPr="0006063C" w:rsidSect="00034616">
      <w:headerReference w:type="default" r:id="rId9"/>
      <w:footerReference w:type="default" r:id="rId10"/>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Página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t>EnerNova Generación S.A. de C.V.  |  Informe de Auditoría PSM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