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Circumstance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Conclude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Consequently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Considerable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Convince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Criticism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Crucial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Despite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Distinguish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Emphasize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Establish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Expand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Factor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Imply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Indicate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Investigate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Obtain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