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Security Controls Overview</w:t>
      </w:r>
    </w:p>
    <w:p>
      <w:r>
        <w:t>This document describes the security controls maintained by our organization.</w:t>
      </w:r>
    </w:p>
    <w:p>
      <w:pPr>
        <w:pStyle w:val="Heading1"/>
      </w:pPr>
      <w:r>
        <w:t>1. Written Information Security Policy</w:t>
      </w:r>
    </w:p>
    <w:p>
      <w:r>
        <w:t>Yes. The company maintains a written information security policy that is approved by management, communicated to all personnel, and reviewed annually.</w:t>
      </w:r>
    </w:p>
    <w:p>
      <w:pPr>
        <w:pStyle w:val="Heading1"/>
      </w:pPr>
      <w:r>
        <w:t>2. Designated Security Responsibility</w:t>
      </w:r>
    </w:p>
    <w:p>
      <w:r>
        <w:t>Yes. A designated individual (CISO) is responsible for the security program, including policy development, risk assessment, and oversight.</w:t>
      </w:r>
    </w:p>
    <w:p>
      <w:pPr>
        <w:pStyle w:val="Heading1"/>
      </w:pPr>
      <w:r>
        <w:t>3. Risk Assessments</w:t>
      </w:r>
    </w:p>
    <w:p>
      <w:r>
        <w:t>Yes. The organization performs annual risk assessments to identify threats and vulnerabilities. Findings are documented and remediated according to priority.</w:t>
      </w:r>
    </w:p>
    <w:p>
      <w:pPr>
        <w:pStyle w:val="Heading1"/>
      </w:pPr>
      <w:r>
        <w:t>4. Access Control</w:t>
      </w:r>
    </w:p>
    <w:p>
      <w:r>
        <w:t>Access to systems and data is controlled via role-based access control (RBAC). Principle of least privilege is applied. Access reviews are conducted quarterly.</w:t>
      </w:r>
    </w:p>
    <w:p>
      <w:pPr>
        <w:pStyle w:val="Heading1"/>
      </w:pPr>
      <w:r>
        <w:t>5. Incident Response</w:t>
      </w:r>
    </w:p>
    <w:p>
      <w:r>
        <w:t>An incident response plan is maintained and tested annually. Security incidents are logged, triaged, and escalated per defined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