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0"/>
          <w:szCs w:val="30"/>
        </w:rPr>
        <w:t xml:space="preserve">Annex A</w:t>
      </w:r>
    </w:p>
    <w:p>
      <w:pPr>
        <w:spacing w:after="40"/>
      </w:pPr>
      <w:r>
        <w:rPr>
          <w:b/>
          <w:bCs/>
          <w:sz w:val="24"/>
          <w:szCs w:val="24"/>
        </w:rPr>
        <w:t xml:space="preserve">Scope of Work &amp; Launch Definition</w:t>
      </w:r>
    </w:p>
    <w:p>
      <w:pPr>
        <w:spacing w:after="40"/>
      </w:pPr>
      <w:r>
        <w:rPr>
          <w:color w:val="595959"/>
          <w:sz w:val="19"/>
          <w:szCs w:val="19"/>
        </w:rPr>
        <w:t xml:space="preserve">Supplement to the EduLedgerNG Developer Agreement   ·   8 July 2026   ·   Draft v0.1 for discussion</w:t>
      </w:r>
    </w:p>
    <w:p>
      <w:pPr>
        <w:pBdr>
          <w:bottom w:val="single" w:color="BFBFBF" w:sz="6" w:space="1"/>
        </w:pBdr>
        <w:spacing w:after="120" w:before="60"/>
      </w:pPr>
      <w:r>
        <w:t xml:space="preserve"/>
      </w:r>
    </w:p>
    <w:p>
      <w:pPr>
        <w:spacing w:after="120" w:line="276"/>
      </w:pPr>
      <w:r>
        <w:t xml:space="preserve">This Annex supplements </w:t>
      </w:r>
      <w:r>
        <w:rPr>
          <w:b/>
          <w:bCs/>
        </w:rPr>
        <w:t xml:space="preserve">Clause 2 (Scope of Work)</w:t>
      </w:r>
      <w:r>
        <w:t xml:space="preserve"> and defines the term </w:t>
      </w:r>
      <w:r>
        <w:rPr>
          <w:b/>
          <w:bCs/>
        </w:rPr>
        <w:t xml:space="preserve">“Launch”</w:t>
      </w:r>
      <w:r>
        <w:t xml:space="preserve"> used in </w:t>
      </w:r>
      <w:r>
        <w:rPr>
          <w:b/>
          <w:bCs/>
        </w:rPr>
        <w:t xml:space="preserve">Clause 3 (Compensation)</w:t>
      </w:r>
      <w:r>
        <w:t xml:space="preserve">. Where this Annex and Clause 2 differ, this Annex governs the definition of Launch and the in-scope / out-of-scope split. Both parties sign this Annex alongside the Agreement.</w:t>
      </w:r>
    </w:p>
    <w:p>
      <w:pPr>
        <w:pBdr>
          <w:top w:val="single" w:color="9DB4CE" w:sz="4"/>
          <w:bottom w:val="single" w:color="9DB4CE" w:sz="4"/>
          <w:left w:val="single" w:color="9DB4CE" w:sz="4"/>
          <w:right w:val="single" w:color="9DB4CE" w:sz="4"/>
        </w:pBdr>
        <w:shd w:fill="EAF0F6" w:color="auto" w:val="clear"/>
        <w:spacing w:after="140" w:line="272"/>
      </w:pPr>
      <w:r>
        <w:rPr>
          <w:b/>
          <w:bCs/>
          <w:color w:val="1F3864"/>
        </w:rPr>
        <w:t xml:space="preserve">How to read this document.  </w:t>
      </w:r>
      <w:r>
        <w:t xml:space="preserve">Each technical item below is followed by a plain-English </w:t>
      </w:r>
      <w:r>
        <w:rPr>
          <w:i/>
          <w:iCs/>
        </w:rPr>
        <w:t xml:space="preserve">“What this means”</w:t>
      </w:r>
      <w:r>
        <w:t xml:space="preserve"> note, and every recurring technical term is explained in the Glossary (§8). You don't need a technical background to review it — if a term is unclear, check §8.</w:t>
      </w:r>
    </w:p>
    <w:p>
      <w:pPr>
        <w:pStyle w:val="Heading1"/>
        <w:spacing w:after="100" w:before="260"/>
      </w:pPr>
      <w:r>
        <w:rPr>
          <w:b/>
          <w:bCs/>
          <w:color w:val="1F3864"/>
          <w:sz w:val="26"/>
          <w:szCs w:val="26"/>
        </w:rPr>
        <w:t xml:space="preserve">1. Definition of Launch</w:t>
      </w:r>
    </w:p>
    <w:p>
      <w:pPr>
        <w:spacing w:after="120" w:line="276"/>
      </w:pPr>
      <w:r>
        <w:t xml:space="preserve">EduLedgerNG is deemed “Launched” when all of the following are true and accepted by Party A in writing:</w:t>
      </w:r>
    </w:p>
    <w:p>
      <w:pPr>
        <w:pStyle w:val="ListParagraph"/>
        <w:numPr>
          <w:ilvl w:val="0"/>
          <w:numId w:val="1"/>
        </w:numPr>
        <w:spacing w:after="80" w:line="272"/>
      </w:pPr>
      <w:r>
        <w:t xml:space="preserve">All Primary Deliverables (Agreement 2.1) are verified working in production: Paystack payment initialization; webhook with HMAC-SHA512 verification; payment reflection on the student and admin dashboards; correct recording in the payments table with session / term / student / school references; and a passing end-to-end payment test.</w:t>
      </w:r>
    </w:p>
    <w:p>
      <w:pPr>
        <w:pStyle w:val="ListParagraph"/>
        <w:numPr>
          <w:ilvl w:val="0"/>
          <w:numId w:val="1"/>
        </w:numPr>
        <w:spacing w:after="80" w:line="272"/>
      </w:pPr>
      <w:r>
        <w:t xml:space="preserve">Every item marked </w:t>
      </w:r>
      <w:r>
        <w:rPr>
          <w:b/>
          <w:bCs/>
        </w:rPr>
        <w:t xml:space="preserve">Launch-blocking</w:t>
      </w:r>
      <w:r>
        <w:t xml:space="preserve"> on the Launch Punch-List (§5) is closed.</w:t>
      </w:r>
    </w:p>
    <w:p>
      <w:pPr>
        <w:pStyle w:val="ListParagraph"/>
        <w:numPr>
          <w:ilvl w:val="0"/>
          <w:numId w:val="1"/>
        </w:numPr>
        <w:spacing w:after="80" w:line="272"/>
      </w:pPr>
      <w:r>
        <w:t xml:space="preserve">The platform has processed at least one successful real payment end-to-end in production (pilot school).</w:t>
      </w:r>
    </w:p>
    <w:p>
      <w:pPr>
        <w:pStyle w:val="ListParagraph"/>
        <w:numPr>
          <w:ilvl w:val="0"/>
          <w:numId w:val="1"/>
        </w:numPr>
        <w:spacing w:after="80" w:line="272"/>
      </w:pPr>
      <w:r>
        <w:t xml:space="preserve">Party A has confirmed acceptance in writing.</w:t>
      </w:r>
    </w:p>
    <w:p>
      <w:pPr>
        <w:pBdr>
          <w:top w:val="single" w:color="9DB4CE" w:sz="4"/>
          <w:bottom w:val="single" w:color="9DB4CE" w:sz="4"/>
          <w:left w:val="single" w:color="9DB4CE" w:sz="4"/>
          <w:right w:val="single" w:color="9DB4CE" w:sz="4"/>
        </w:pBdr>
        <w:shd w:fill="EAF0F6" w:color="auto" w:val="clear"/>
        <w:spacing w:after="120" w:before="40" w:line="268"/>
      </w:pPr>
      <w:r>
        <w:rPr>
          <w:b/>
          <w:bCs/>
          <w:color w:val="1F3864"/>
        </w:rPr>
        <w:t xml:space="preserve">In plain terms:  </w:t>
      </w:r>
      <w:r>
        <w:t xml:space="preserve">“Launched” means a real parent can pay a real fee on the live site, the money lands in the school's bank correctly, both the student and the school instantly see it recorded, and every must-fix item in the punch-list (§5) is done and signed off by you.</w:t>
      </w:r>
    </w:p>
    <w:p>
      <w:pPr>
        <w:pStyle w:val="Heading1"/>
        <w:spacing w:after="100" w:before="260"/>
      </w:pPr>
      <w:r>
        <w:rPr>
          <w:b/>
          <w:bCs/>
          <w:color w:val="1F3864"/>
          <w:sz w:val="26"/>
          <w:szCs w:val="26"/>
        </w:rPr>
        <w:t xml:space="preserve">2. How the money works — revenue &amp; fee model</w:t>
      </w:r>
    </w:p>
    <w:p>
      <w:pPr>
        <w:spacing w:after="120" w:line="276"/>
      </w:pPr>
      <w:r>
        <w:t xml:space="preserve">EduLedgerNG works like a digital version of a paper fee ledger: the school always receives the </w:t>
      </w:r>
      <w:r>
        <w:rPr>
          <w:b/>
          <w:bCs/>
        </w:rPr>
        <w:t xml:space="preserve">exact fee it sets</w:t>
      </w:r>
      <w:r>
        <w:t xml:space="preserve"> — nothing is deducted from it. The platform earns from a small charge added on top, and the payment gateway (Paystack) adds its charge on top too. The parent pays the fee plus both charges.</w:t>
      </w:r>
    </w:p>
    <w:p>
      <w:pPr>
        <w:pBdr>
          <w:top w:val="single" w:color="9DB4CE" w:sz="4"/>
          <w:bottom w:val="single" w:color="9DB4CE" w:sz="4"/>
          <w:left w:val="single" w:color="9DB4CE" w:sz="4"/>
          <w:right w:val="single" w:color="9DB4CE" w:sz="4"/>
        </w:pBdr>
        <w:shd w:fill="EAF0F6" w:color="auto" w:val="clear"/>
        <w:spacing w:after="140" w:before="40" w:line="276"/>
        <w:jc w:val="center"/>
      </w:pPr>
      <w:r>
        <w:rPr>
          <w:b/>
          <w:bCs/>
          <w:color w:val="1F3864"/>
        </w:rPr>
        <w:t xml:space="preserve">Parent pays  =  fee  +  platform charge (1%)  +  Paystack gateway charge.</w:t>
      </w:r>
      <w:r>
        <w:rPr>
          <w:b/>
          <w:bCs/>
        </w:rPr>
        <w:t xml:space="preserve">   The school receives 100% of the fee it set.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300"/>
        <w:gridCol w:w="3960"/>
      </w:tblGrid>
      <w:tr>
        <w:trPr>
          <w:tblHeader/>
        </w:trPr>
        <w:tc>
          <w:tcPr>
            <w:tcW w:type="dxa" w:w="2100"/>
            <w:shd w:fill="1F3864" w:color="auto" w:val="clear"/>
            <w:tcMar>
              <w:top w:type="dxa" w:w="60"/>
              <w:left w:type="dxa" w:w="90"/>
              <w:bottom w:type="dxa" w:w="60"/>
              <w:right w:type="dxa" w:w="90"/>
            </w:tcMar>
            <w:vAlign w:val="top"/>
          </w:tcPr>
          <w:p>
            <w:pPr>
              <w:jc w:val="left"/>
            </w:pPr>
            <w:r>
              <w:rPr>
                <w:b/>
                <w:bCs/>
                <w:color w:val="FFFFFF"/>
                <w:sz w:val="20"/>
                <w:szCs w:val="20"/>
              </w:rPr>
              <w:t xml:space="preserve">Party</w:t>
            </w:r>
          </w:p>
        </w:tc>
        <w:tc>
          <w:tcPr>
            <w:tcW w:type="dxa" w:w="3300"/>
            <w:shd w:fill="1F3864" w:color="auto" w:val="clear"/>
            <w:tcMar>
              <w:top w:type="dxa" w:w="60"/>
              <w:left w:type="dxa" w:w="90"/>
              <w:bottom w:type="dxa" w:w="60"/>
              <w:right w:type="dxa" w:w="90"/>
            </w:tcMar>
            <w:vAlign w:val="top"/>
          </w:tcPr>
          <w:p>
            <w:pPr>
              <w:jc w:val="left"/>
            </w:pPr>
            <w:r>
              <w:rPr>
                <w:b/>
                <w:bCs/>
                <w:color w:val="FFFFFF"/>
                <w:sz w:val="20"/>
                <w:szCs w:val="20"/>
              </w:rPr>
              <w:t xml:space="preserve">Gets / pays</w:t>
            </w:r>
          </w:p>
        </w:tc>
        <w:tc>
          <w:tcPr>
            <w:tcW w:type="dxa" w:w="3960"/>
            <w:shd w:fill="1F3864" w:color="auto" w:val="clear"/>
            <w:tcMar>
              <w:top w:type="dxa" w:w="60"/>
              <w:left w:type="dxa" w:w="90"/>
              <w:bottom w:type="dxa" w:w="60"/>
              <w:right w:type="dxa" w:w="90"/>
            </w:tcMar>
            <w:vAlign w:val="top"/>
          </w:tcPr>
          <w:p>
            <w:pPr>
              <w:jc w:val="left"/>
            </w:pPr>
            <w:r>
              <w:rPr>
                <w:b/>
                <w:bCs/>
                <w:color w:val="FFFFFF"/>
                <w:sz w:val="20"/>
                <w:szCs w:val="20"/>
              </w:rPr>
              <w:t xml:space="preserve">How it works</w:t>
            </w:r>
          </w:p>
        </w:tc>
      </w:tr>
      <w:tr>
        <w:tc>
          <w:tcPr>
            <w:tcW w:type="dxa" w:w="2100"/>
            <w:tcMar>
              <w:top w:type="dxa" w:w="60"/>
              <w:left w:type="dxa" w:w="90"/>
              <w:bottom w:type="dxa" w:w="60"/>
              <w:right w:type="dxa" w:w="90"/>
            </w:tcMar>
            <w:vAlign w:val="top"/>
          </w:tcPr>
          <w:p>
            <w:pPr>
              <w:jc w:val="left"/>
            </w:pPr>
            <w:r>
              <w:rPr>
                <w:b/>
                <w:bCs/>
                <w:sz w:val="18"/>
                <w:szCs w:val="18"/>
              </w:rPr>
              <w:t xml:space="preserve">School</w:t>
            </w:r>
          </w:p>
        </w:tc>
        <w:tc>
          <w:tcPr>
            <w:tcW w:type="dxa" w:w="3300"/>
            <w:tcMar>
              <w:top w:type="dxa" w:w="60"/>
              <w:left w:type="dxa" w:w="90"/>
              <w:bottom w:type="dxa" w:w="60"/>
              <w:right w:type="dxa" w:w="90"/>
            </w:tcMar>
            <w:vAlign w:val="top"/>
          </w:tcPr>
          <w:p>
            <w:pPr>
              <w:jc w:val="left"/>
            </w:pPr>
            <w:r>
              <w:rPr>
                <w:sz w:val="18"/>
                <w:szCs w:val="18"/>
              </w:rPr>
              <w:t xml:space="preserve">The full fee it set — 100%</w:t>
            </w:r>
          </w:p>
        </w:tc>
        <w:tc>
          <w:tcPr>
            <w:tcW w:type="dxa" w:w="3960"/>
            <w:tcMar>
              <w:top w:type="dxa" w:w="60"/>
              <w:left w:type="dxa" w:w="90"/>
              <w:bottom w:type="dxa" w:w="60"/>
              <w:right w:type="dxa" w:w="90"/>
            </w:tcMar>
            <w:vAlign w:val="top"/>
          </w:tcPr>
          <w:p>
            <w:pPr>
              <w:jc w:val="left"/>
            </w:pPr>
            <w:r>
              <w:rPr>
                <w:color w:val="595959"/>
                <w:sz w:val="18"/>
                <w:szCs w:val="18"/>
              </w:rPr>
              <w:t xml:space="preserve">Settled to the school's own bank via its Paystack subaccount. Nothing is deducted.</w:t>
            </w:r>
          </w:p>
        </w:tc>
      </w:tr>
      <w:tr>
        <w:tc>
          <w:tcPr>
            <w:tcW w:type="dxa" w:w="2100"/>
            <w:tcMar>
              <w:top w:type="dxa" w:w="60"/>
              <w:left w:type="dxa" w:w="90"/>
              <w:bottom w:type="dxa" w:w="60"/>
              <w:right w:type="dxa" w:w="90"/>
            </w:tcMar>
            <w:vAlign w:val="top"/>
          </w:tcPr>
          <w:p>
            <w:pPr>
              <w:jc w:val="left"/>
            </w:pPr>
            <w:r>
              <w:rPr>
                <w:b/>
                <w:bCs/>
                <w:sz w:val="18"/>
                <w:szCs w:val="18"/>
              </w:rPr>
              <w:t xml:space="preserve">Platform (EduLedgerNG)</w:t>
            </w:r>
          </w:p>
        </w:tc>
        <w:tc>
          <w:tcPr>
            <w:tcW w:type="dxa" w:w="3300"/>
            <w:tcMar>
              <w:top w:type="dxa" w:w="60"/>
              <w:left w:type="dxa" w:w="90"/>
              <w:bottom w:type="dxa" w:w="60"/>
              <w:right w:type="dxa" w:w="90"/>
            </w:tcMar>
            <w:vAlign w:val="top"/>
          </w:tcPr>
          <w:p>
            <w:pPr>
              <w:jc w:val="left"/>
            </w:pPr>
            <w:r>
              <w:rPr>
                <w:sz w:val="18"/>
                <w:szCs w:val="18"/>
              </w:rPr>
              <w:t xml:space="preserve">The platform charge — 1% of the fee</w:t>
            </w:r>
          </w:p>
        </w:tc>
        <w:tc>
          <w:tcPr>
            <w:tcW w:type="dxa" w:w="3960"/>
            <w:tcMar>
              <w:top w:type="dxa" w:w="60"/>
              <w:left w:type="dxa" w:w="90"/>
              <w:bottom w:type="dxa" w:w="60"/>
              <w:right w:type="dxa" w:w="90"/>
            </w:tcMar>
            <w:vAlign w:val="top"/>
          </w:tcPr>
          <w:p>
            <w:pPr>
              <w:jc w:val="left"/>
            </w:pPr>
            <w:r>
              <w:rPr>
                <w:color w:val="595959"/>
                <w:sz w:val="18"/>
                <w:szCs w:val="18"/>
              </w:rPr>
              <w:t xml:space="preserve">Added on top of the fee. This is the platform's revenue.</w:t>
            </w:r>
          </w:p>
        </w:tc>
      </w:tr>
      <w:tr>
        <w:tc>
          <w:tcPr>
            <w:tcW w:type="dxa" w:w="2100"/>
            <w:tcMar>
              <w:top w:type="dxa" w:w="60"/>
              <w:left w:type="dxa" w:w="90"/>
              <w:bottom w:type="dxa" w:w="60"/>
              <w:right w:type="dxa" w:w="90"/>
            </w:tcMar>
            <w:vAlign w:val="top"/>
          </w:tcPr>
          <w:p>
            <w:pPr>
              <w:jc w:val="left"/>
            </w:pPr>
            <w:r>
              <w:rPr>
                <w:b/>
                <w:bCs/>
                <w:sz w:val="18"/>
                <w:szCs w:val="18"/>
              </w:rPr>
              <w:t xml:space="preserve">Paystack (gateway)</w:t>
            </w:r>
          </w:p>
        </w:tc>
        <w:tc>
          <w:tcPr>
            <w:tcW w:type="dxa" w:w="3300"/>
            <w:tcMar>
              <w:top w:type="dxa" w:w="60"/>
              <w:left w:type="dxa" w:w="90"/>
              <w:bottom w:type="dxa" w:w="60"/>
              <w:right w:type="dxa" w:w="90"/>
            </w:tcMar>
            <w:vAlign w:val="top"/>
          </w:tcPr>
          <w:p>
            <w:pPr>
              <w:jc w:val="left"/>
            </w:pPr>
            <w:r>
              <w:rPr>
                <w:sz w:val="18"/>
                <w:szCs w:val="18"/>
              </w:rPr>
              <w:t xml:space="preserve">Its processing charge — about 1.5% + ₦100</w:t>
            </w:r>
          </w:p>
        </w:tc>
        <w:tc>
          <w:tcPr>
            <w:tcW w:type="dxa" w:w="3960"/>
            <w:tcMar>
              <w:top w:type="dxa" w:w="60"/>
              <w:left w:type="dxa" w:w="90"/>
              <w:bottom w:type="dxa" w:w="60"/>
              <w:right w:type="dxa" w:w="90"/>
            </w:tcMar>
            <w:vAlign w:val="top"/>
          </w:tcPr>
          <w:p>
            <w:pPr>
              <w:jc w:val="left"/>
            </w:pPr>
            <w:r>
              <w:rPr>
                <w:color w:val="595959"/>
                <w:sz w:val="18"/>
                <w:szCs w:val="18"/>
              </w:rPr>
              <w:t xml:space="preserve">Added on top. Capped at ₦2,000; the ₦100 is waived under ₦2,500.</w:t>
            </w:r>
          </w:p>
        </w:tc>
      </w:tr>
      <w:tr>
        <w:tc>
          <w:tcPr>
            <w:tcW w:type="dxa" w:w="2100"/>
            <w:tcMar>
              <w:top w:type="dxa" w:w="60"/>
              <w:left w:type="dxa" w:w="90"/>
              <w:bottom w:type="dxa" w:w="60"/>
              <w:right w:type="dxa" w:w="90"/>
            </w:tcMar>
            <w:vAlign w:val="top"/>
          </w:tcPr>
          <w:p>
            <w:pPr>
              <w:jc w:val="left"/>
            </w:pPr>
            <w:r>
              <w:rPr>
                <w:b/>
                <w:bCs/>
                <w:sz w:val="18"/>
                <w:szCs w:val="18"/>
              </w:rPr>
              <w:t xml:space="preserve">Parent / student</w:t>
            </w:r>
          </w:p>
        </w:tc>
        <w:tc>
          <w:tcPr>
            <w:tcW w:type="dxa" w:w="3300"/>
            <w:tcMar>
              <w:top w:type="dxa" w:w="60"/>
              <w:left w:type="dxa" w:w="90"/>
              <w:bottom w:type="dxa" w:w="60"/>
              <w:right w:type="dxa" w:w="90"/>
            </w:tcMar>
            <w:vAlign w:val="top"/>
          </w:tcPr>
          <w:p>
            <w:pPr>
              <w:jc w:val="left"/>
            </w:pPr>
            <w:r>
              <w:rPr>
                <w:sz w:val="18"/>
                <w:szCs w:val="18"/>
              </w:rPr>
              <w:t xml:space="preserve">Pays fee + platform charge + gateway charge</w:t>
            </w:r>
          </w:p>
        </w:tc>
        <w:tc>
          <w:tcPr>
            <w:tcW w:type="dxa" w:w="3960"/>
            <w:tcMar>
              <w:top w:type="dxa" w:w="60"/>
              <w:left w:type="dxa" w:w="90"/>
              <w:bottom w:type="dxa" w:w="60"/>
              <w:right w:type="dxa" w:w="90"/>
            </w:tcMar>
            <w:vAlign w:val="top"/>
          </w:tcPr>
          <w:p>
            <w:pPr>
              <w:jc w:val="left"/>
            </w:pPr>
            <w:r>
              <w:rPr>
                <w:color w:val="595959"/>
                <w:sz w:val="18"/>
                <w:szCs w:val="18"/>
              </w:rPr>
              <w:t xml:space="preserve">Each part is shown as a separate line at checkout.</w:t>
            </w:r>
          </w:p>
        </w:tc>
      </w:tr>
    </w:tbl>
    <w:p>
      <w:pPr>
        <w:spacing w:after="60" w:before="160"/>
      </w:pPr>
      <w:r>
        <w:rPr>
          <w:b/>
          <w:bCs/>
          <w:color w:val="1F3864"/>
          <w:sz w:val="23"/>
          <w:szCs w:val="23"/>
        </w:rPr>
        <w:t xml:space="preserve">Worked example — a ₦50,000 fee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00"/>
        <w:gridCol w:w="3760"/>
      </w:tblGrid>
      <w:tr>
        <w:tc>
          <w:tcPr>
            <w:tcW w:type="dxa" w:w="5600"/>
            <w:tcMar>
              <w:top w:type="dxa" w:w="60"/>
              <w:left w:type="dxa" w:w="90"/>
              <w:bottom w:type="dxa" w:w="60"/>
              <w:right w:type="dxa" w:w="90"/>
            </w:tcMar>
            <w:vAlign w:val="top"/>
          </w:tcPr>
          <w:p>
            <w:pPr>
              <w:jc w:val="left"/>
            </w:pPr>
            <w:r>
              <w:rPr>
                <w:b w:val="false"/>
                <w:bCs w:val="false"/>
                <w:sz w:val="18"/>
                <w:szCs w:val="18"/>
              </w:rPr>
              <w:t xml:space="preserve">School's set fee</w:t>
            </w:r>
          </w:p>
        </w:tc>
        <w:tc>
          <w:tcPr>
            <w:tcW w:type="dxa" w:w="3760"/>
            <w:tcMar>
              <w:top w:type="dxa" w:w="60"/>
              <w:left w:type="dxa" w:w="90"/>
              <w:bottom w:type="dxa" w:w="60"/>
              <w:right w:type="dxa" w:w="90"/>
            </w:tcMar>
            <w:vAlign w:val="top"/>
          </w:tcPr>
          <w:p>
            <w:pPr>
              <w:jc w:val="right"/>
            </w:pPr>
            <w:r>
              <w:rPr>
                <w:b w:val="false"/>
                <w:bCs w:val="false"/>
                <w:sz w:val="18"/>
                <w:szCs w:val="18"/>
              </w:rPr>
              <w:t xml:space="preserve">₦50,000</w:t>
            </w:r>
          </w:p>
        </w:tc>
      </w:tr>
      <w:tr>
        <w:tc>
          <w:tcPr>
            <w:tcW w:type="dxa" w:w="5600"/>
            <w:tcMar>
              <w:top w:type="dxa" w:w="60"/>
              <w:left w:type="dxa" w:w="90"/>
              <w:bottom w:type="dxa" w:w="60"/>
              <w:right w:type="dxa" w:w="90"/>
            </w:tcMar>
            <w:vAlign w:val="top"/>
          </w:tcPr>
          <w:p>
            <w:pPr>
              <w:jc w:val="left"/>
            </w:pPr>
            <w:r>
              <w:rPr>
                <w:b w:val="false"/>
                <w:bCs w:val="false"/>
                <w:sz w:val="18"/>
                <w:szCs w:val="18"/>
              </w:rPr>
              <w:t xml:space="preserve">+  Platform charge (1%)</w:t>
            </w:r>
          </w:p>
        </w:tc>
        <w:tc>
          <w:tcPr>
            <w:tcW w:type="dxa" w:w="3760"/>
            <w:tcMar>
              <w:top w:type="dxa" w:w="60"/>
              <w:left w:type="dxa" w:w="90"/>
              <w:bottom w:type="dxa" w:w="60"/>
              <w:right w:type="dxa" w:w="90"/>
            </w:tcMar>
            <w:vAlign w:val="top"/>
          </w:tcPr>
          <w:p>
            <w:pPr>
              <w:jc w:val="right"/>
            </w:pPr>
            <w:r>
              <w:rPr>
                <w:b w:val="false"/>
                <w:bCs w:val="false"/>
                <w:sz w:val="18"/>
                <w:szCs w:val="18"/>
              </w:rPr>
              <w:t xml:space="preserve">₦500</w:t>
            </w:r>
          </w:p>
        </w:tc>
      </w:tr>
      <w:tr>
        <w:tc>
          <w:tcPr>
            <w:tcW w:type="dxa" w:w="5600"/>
            <w:tcMar>
              <w:top w:type="dxa" w:w="60"/>
              <w:left w:type="dxa" w:w="90"/>
              <w:bottom w:type="dxa" w:w="60"/>
              <w:right w:type="dxa" w:w="90"/>
            </w:tcMar>
            <w:vAlign w:val="top"/>
          </w:tcPr>
          <w:p>
            <w:pPr>
              <w:jc w:val="left"/>
            </w:pPr>
            <w:r>
              <w:rPr>
                <w:b w:val="false"/>
                <w:bCs w:val="false"/>
                <w:sz w:val="18"/>
                <w:szCs w:val="18"/>
              </w:rPr>
              <w:t xml:space="preserve">+  Paystack gateway charge (approx.)</w:t>
            </w:r>
          </w:p>
        </w:tc>
        <w:tc>
          <w:tcPr>
            <w:tcW w:type="dxa" w:w="3760"/>
            <w:tcMar>
              <w:top w:type="dxa" w:w="60"/>
              <w:left w:type="dxa" w:w="90"/>
              <w:bottom w:type="dxa" w:w="60"/>
              <w:right w:type="dxa" w:w="90"/>
            </w:tcMar>
            <w:vAlign w:val="top"/>
          </w:tcPr>
          <w:p>
            <w:pPr>
              <w:jc w:val="right"/>
            </w:pPr>
            <w:r>
              <w:rPr>
                <w:b w:val="false"/>
                <w:bCs w:val="false"/>
                <w:sz w:val="18"/>
                <w:szCs w:val="18"/>
              </w:rPr>
              <w:t xml:space="preserve">≈ ₦871</w:t>
            </w:r>
          </w:p>
        </w:tc>
      </w:tr>
      <w:tr>
        <w:tc>
          <w:tcPr>
            <w:tcW w:type="dxa" w:w="5600"/>
            <w:shd w:fill="EAF0F6" w:color="auto" w:val="clear"/>
            <w:tcMar>
              <w:top w:type="dxa" w:w="60"/>
              <w:left w:type="dxa" w:w="90"/>
              <w:bottom w:type="dxa" w:w="60"/>
              <w:right w:type="dxa" w:w="90"/>
            </w:tcMar>
            <w:vAlign w:val="top"/>
          </w:tcPr>
          <w:p>
            <w:pPr>
              <w:jc w:val="left"/>
            </w:pPr>
            <w:r>
              <w:rPr>
                <w:b/>
                <w:bCs/>
                <w:sz w:val="18"/>
                <w:szCs w:val="18"/>
              </w:rPr>
              <w:t xml:space="preserve">=  Parent pays (total)</w:t>
            </w:r>
          </w:p>
        </w:tc>
        <w:tc>
          <w:tcPr>
            <w:tcW w:type="dxa" w:w="3760"/>
            <w:shd w:fill="EAF0F6" w:color="auto" w:val="clear"/>
            <w:tcMar>
              <w:top w:type="dxa" w:w="60"/>
              <w:left w:type="dxa" w:w="90"/>
              <w:bottom w:type="dxa" w:w="60"/>
              <w:right w:type="dxa" w:w="90"/>
            </w:tcMar>
            <w:vAlign w:val="top"/>
          </w:tcPr>
          <w:p>
            <w:pPr>
              <w:jc w:val="right"/>
            </w:pPr>
            <w:r>
              <w:rPr>
                <w:b/>
                <w:bCs/>
                <w:sz w:val="18"/>
                <w:szCs w:val="18"/>
              </w:rPr>
              <w:t xml:space="preserve">≈ ₦51,371</w:t>
            </w:r>
          </w:p>
        </w:tc>
      </w:tr>
    </w:tbl>
    <w:p>
      <w:pPr>
        <w:spacing w:after="120" w:line="276"/>
      </w:pPr>
      <w:r>
        <w:rPr>
          <w:i/>
          <w:iCs/>
          <w:color w:val="595959"/>
          <w:sz w:val="19"/>
          <w:szCs w:val="19"/>
        </w:rPr>
        <w:t xml:space="preserve">→  The school receives ₦50,000 in full  ·  the platform earns ₦500  ·  Paystack takes ≈ ₦871. Exact gateway amounts vary with Paystack's pricing (1.5% + ₦100, the ₦100 waived under ₦2,500, capped at ₦2,000).</w:t>
      </w:r>
    </w:p>
    <w:p>
      <w:pPr>
        <w:pBdr>
          <w:top w:val="single" w:color="9DB4CE" w:sz="4"/>
          <w:bottom w:val="single" w:color="9DB4CE" w:sz="4"/>
          <w:left w:val="single" w:color="9DB4CE" w:sz="4"/>
          <w:right w:val="single" w:color="9DB4CE" w:sz="4"/>
        </w:pBdr>
        <w:shd w:fill="EAF0F6" w:color="auto" w:val="clear"/>
        <w:spacing w:after="120" w:before="40" w:line="272"/>
      </w:pPr>
      <w:r>
        <w:rPr>
          <w:b/>
          <w:bCs/>
          <w:color w:val="1F3864"/>
        </w:rPr>
        <w:t xml:space="preserve">In plain terms:  </w:t>
      </w:r>
      <w:r>
        <w:t xml:space="preserve">whatever fee the school enters is exactly what lands in the school's bank. The parent covers the two service charges on top — so the school's records stay precise, just like a paper ledger.</w:t>
      </w:r>
    </w:p>
    <w:p>
      <w:pPr>
        <w:spacing w:after="120" w:line="276"/>
      </w:pPr>
      <w:r>
        <w:rPr>
          <w:color w:val="595959"/>
          <w:sz w:val="19"/>
          <w:szCs w:val="19"/>
        </w:rPr>
        <w:t xml:space="preserve">This is already how the live payment code behaves. Punch-list item PL-02 (§5) keeps the two copies of this calculation — in create-paystack-payment and the student dashboard — exactly in sync.</w:t>
      </w:r>
    </w:p>
    <w:p>
      <w:pPr>
        <w:pStyle w:val="Heading1"/>
        <w:spacing w:after="100" w:before="260"/>
      </w:pPr>
      <w:r>
        <w:rPr>
          <w:b/>
          <w:bCs/>
          <w:color w:val="1F3864"/>
          <w:sz w:val="26"/>
          <w:szCs w:val="26"/>
        </w:rPr>
        <w:t xml:space="preserve">3. Bug severity — how we rank issues</w:t>
      </w:r>
    </w:p>
    <w:p>
      <w:pPr>
        <w:spacing w:after="120" w:line="276"/>
      </w:pPr>
      <w:r>
        <w:rPr>
          <w:i/>
          <w:iCs/>
          <w:color w:val="595959"/>
        </w:rPr>
        <w:t xml:space="preserve">This is just a shared way to rank problems by seriousness. </w:t>
      </w:r>
      <w:r>
        <w:rPr>
          <w:i/>
          <w:iCs/>
          <w:color w:val="595959"/>
        </w:rPr>
        <w:t xml:space="preserve">P0 is the most serious (must fix before launch); P3 is the least (can wait). Only P0 and P1 issues block the launch — the rest are handled in the paid phase afterward.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060"/>
        <w:gridCol w:w="1800"/>
      </w:tblGrid>
      <w:tr>
        <w:trPr>
          <w:tblHeader/>
        </w:trPr>
        <w:tc>
          <w:tcPr>
            <w:tcW w:type="dxa" w:w="1500"/>
            <w:shd w:fill="1F3864" w:color="auto" w:val="clear"/>
            <w:tcMar>
              <w:top w:type="dxa" w:w="60"/>
              <w:left w:type="dxa" w:w="90"/>
              <w:bottom w:type="dxa" w:w="60"/>
              <w:right w:type="dxa" w:w="90"/>
            </w:tcMar>
            <w:vAlign w:val="top"/>
          </w:tcPr>
          <w:p>
            <w:pPr>
              <w:jc w:val="left"/>
            </w:pPr>
            <w:r>
              <w:rPr>
                <w:b/>
                <w:bCs/>
                <w:color w:val="FFFFFF"/>
                <w:sz w:val="20"/>
                <w:szCs w:val="20"/>
              </w:rPr>
              <w:t xml:space="preserve">Severity</w:t>
            </w:r>
          </w:p>
        </w:tc>
        <w:tc>
          <w:tcPr>
            <w:tcW w:type="dxa" w:w="6060"/>
            <w:shd w:fill="1F3864" w:color="auto" w:val="clear"/>
            <w:tcMar>
              <w:top w:type="dxa" w:w="60"/>
              <w:left w:type="dxa" w:w="90"/>
              <w:bottom w:type="dxa" w:w="60"/>
              <w:right w:type="dxa" w:w="90"/>
            </w:tcMar>
            <w:vAlign w:val="top"/>
          </w:tcPr>
          <w:p>
            <w:pPr>
              <w:jc w:val="left"/>
            </w:pPr>
            <w:r>
              <w:rPr>
                <w:b/>
                <w:bCs/>
                <w:color w:val="FFFFFF"/>
                <w:sz w:val="20"/>
                <w:szCs w:val="20"/>
              </w:rPr>
              <w:t xml:space="preserve">Definition</w:t>
            </w:r>
          </w:p>
        </w:tc>
        <w:tc>
          <w:tcPr>
            <w:tcW w:type="dxa" w:w="1800"/>
            <w:shd w:fill="1F3864" w:color="auto" w:val="clear"/>
            <w:tcMar>
              <w:top w:type="dxa" w:w="60"/>
              <w:left w:type="dxa" w:w="90"/>
              <w:bottom w:type="dxa" w:w="60"/>
              <w:right w:type="dxa" w:w="90"/>
            </w:tcMar>
            <w:vAlign w:val="top"/>
          </w:tcPr>
          <w:p>
            <w:pPr>
              <w:jc w:val="left"/>
            </w:pPr>
            <w:r>
              <w:rPr>
                <w:b/>
                <w:bCs/>
                <w:color w:val="FFFFFF"/>
                <w:sz w:val="20"/>
                <w:szCs w:val="20"/>
              </w:rPr>
              <w:t xml:space="preserve">Launch-blocking?</w:t>
            </w:r>
          </w:p>
        </w:tc>
      </w:tr>
      <w:tr>
        <w:tc>
          <w:tcPr>
            <w:tcW w:type="dxa" w:w="1500"/>
            <w:tcMar>
              <w:top w:type="dxa" w:w="60"/>
              <w:left w:type="dxa" w:w="90"/>
              <w:bottom w:type="dxa" w:w="60"/>
              <w:right w:type="dxa" w:w="90"/>
            </w:tcMar>
            <w:vAlign w:val="top"/>
          </w:tcPr>
          <w:p>
            <w:pPr>
              <w:jc w:val="left"/>
            </w:pPr>
            <w:r>
              <w:rPr>
                <w:b/>
                <w:bCs/>
              </w:rPr>
              <w:t xml:space="preserve">P0 — Blocker</w:t>
            </w:r>
          </w:p>
        </w:tc>
        <w:tc>
          <w:tcPr>
            <w:tcW w:type="dxa" w:w="6060"/>
            <w:tcMar>
              <w:top w:type="dxa" w:w="60"/>
              <w:left w:type="dxa" w:w="90"/>
              <w:bottom w:type="dxa" w:w="60"/>
              <w:right w:type="dxa" w:w="90"/>
            </w:tcMar>
            <w:vAlign w:val="top"/>
          </w:tcPr>
          <w:p>
            <w:pPr>
              <w:jc w:val="left"/>
            </w:pPr>
            <w:r>
              <w:t xml:space="preserve">Payments fail, data loss or corruption, exposure of credentials or student data, or the platform is unusable.</w:t>
            </w:r>
          </w:p>
        </w:tc>
        <w:tc>
          <w:tcPr>
            <w:tcW w:type="dxa" w:w="1800"/>
            <w:tcMar>
              <w:top w:type="dxa" w:w="60"/>
              <w:left w:type="dxa" w:w="90"/>
              <w:bottom w:type="dxa" w:w="60"/>
              <w:right w:type="dxa" w:w="90"/>
            </w:tcMar>
            <w:vAlign w:val="top"/>
          </w:tcPr>
          <w:p>
            <w:pPr>
              <w:jc w:val="center"/>
            </w:pPr>
            <w:r>
              <w:rPr>
                <w:b/>
                <w:bCs/>
                <w:color w:val="1F3864"/>
              </w:rPr>
              <w:t xml:space="preserve">Yes</w:t>
            </w:r>
          </w:p>
        </w:tc>
      </w:tr>
      <w:tr>
        <w:tc>
          <w:tcPr>
            <w:tcW w:type="dxa" w:w="1500"/>
            <w:tcMar>
              <w:top w:type="dxa" w:w="60"/>
              <w:left w:type="dxa" w:w="90"/>
              <w:bottom w:type="dxa" w:w="60"/>
              <w:right w:type="dxa" w:w="90"/>
            </w:tcMar>
            <w:vAlign w:val="top"/>
          </w:tcPr>
          <w:p>
            <w:pPr>
              <w:jc w:val="left"/>
            </w:pPr>
            <w:r>
              <w:rPr>
                <w:b/>
                <w:bCs/>
              </w:rPr>
              <w:t xml:space="preserve">P1 — Critical</w:t>
            </w:r>
          </w:p>
        </w:tc>
        <w:tc>
          <w:tcPr>
            <w:tcW w:type="dxa" w:w="6060"/>
            <w:tcMar>
              <w:top w:type="dxa" w:w="60"/>
              <w:left w:type="dxa" w:w="90"/>
              <w:bottom w:type="dxa" w:w="60"/>
              <w:right w:type="dxa" w:w="90"/>
            </w:tcMar>
            <w:vAlign w:val="top"/>
          </w:tcPr>
          <w:p>
            <w:pPr>
              <w:jc w:val="left"/>
            </w:pPr>
            <w:r>
              <w:t xml:space="preserve">A core flow is broken for many users with no reasonable workaround.</w:t>
            </w:r>
          </w:p>
        </w:tc>
        <w:tc>
          <w:tcPr>
            <w:tcW w:type="dxa" w:w="1800"/>
            <w:tcMar>
              <w:top w:type="dxa" w:w="60"/>
              <w:left w:type="dxa" w:w="90"/>
              <w:bottom w:type="dxa" w:w="60"/>
              <w:right w:type="dxa" w:w="90"/>
            </w:tcMar>
            <w:vAlign w:val="top"/>
          </w:tcPr>
          <w:p>
            <w:pPr>
              <w:jc w:val="center"/>
            </w:pPr>
            <w:r>
              <w:rPr>
                <w:b/>
                <w:bCs/>
                <w:color w:val="1F3864"/>
              </w:rPr>
              <w:t xml:space="preserve">Yes</w:t>
            </w:r>
          </w:p>
        </w:tc>
      </w:tr>
      <w:tr>
        <w:tc>
          <w:tcPr>
            <w:tcW w:type="dxa" w:w="1500"/>
            <w:tcMar>
              <w:top w:type="dxa" w:w="60"/>
              <w:left w:type="dxa" w:w="90"/>
              <w:bottom w:type="dxa" w:w="60"/>
              <w:right w:type="dxa" w:w="90"/>
            </w:tcMar>
            <w:vAlign w:val="top"/>
          </w:tcPr>
          <w:p>
            <w:pPr>
              <w:jc w:val="left"/>
            </w:pPr>
            <w:r>
              <w:rPr>
                <w:b/>
                <w:bCs/>
              </w:rPr>
              <w:t xml:space="preserve">P2 — Major</w:t>
            </w:r>
          </w:p>
        </w:tc>
        <w:tc>
          <w:tcPr>
            <w:tcW w:type="dxa" w:w="6060"/>
            <w:tcMar>
              <w:top w:type="dxa" w:w="60"/>
              <w:left w:type="dxa" w:w="90"/>
              <w:bottom w:type="dxa" w:w="60"/>
              <w:right w:type="dxa" w:w="90"/>
            </w:tcMar>
            <w:vAlign w:val="top"/>
          </w:tcPr>
          <w:p>
            <w:pPr>
              <w:jc w:val="left"/>
            </w:pPr>
            <w:r>
              <w:t xml:space="preserve">A feature is impaired but a workaround exists, or only a limited set of users is affected.</w:t>
            </w:r>
          </w:p>
        </w:tc>
        <w:tc>
          <w:tcPr>
            <w:tcW w:type="dxa" w:w="1800"/>
            <w:tcMar>
              <w:top w:type="dxa" w:w="60"/>
              <w:left w:type="dxa" w:w="90"/>
              <w:bottom w:type="dxa" w:w="60"/>
              <w:right w:type="dxa" w:w="90"/>
            </w:tcMar>
            <w:vAlign w:val="top"/>
          </w:tcPr>
          <w:p>
            <w:pPr>
              <w:jc w:val="center"/>
            </w:pPr>
            <w:r>
              <w:rPr>
                <w:color w:val="595959"/>
              </w:rPr>
              <w:t xml:space="preserve">No — post-launch</w:t>
            </w:r>
          </w:p>
        </w:tc>
      </w:tr>
      <w:tr>
        <w:tc>
          <w:tcPr>
            <w:tcW w:type="dxa" w:w="1500"/>
            <w:tcMar>
              <w:top w:type="dxa" w:w="60"/>
              <w:left w:type="dxa" w:w="90"/>
              <w:bottom w:type="dxa" w:w="60"/>
              <w:right w:type="dxa" w:w="90"/>
            </w:tcMar>
            <w:vAlign w:val="top"/>
          </w:tcPr>
          <w:p>
            <w:pPr>
              <w:jc w:val="left"/>
            </w:pPr>
            <w:r>
              <w:rPr>
                <w:b/>
                <w:bCs/>
              </w:rPr>
              <w:t xml:space="preserve">P3 — Minor</w:t>
            </w:r>
          </w:p>
        </w:tc>
        <w:tc>
          <w:tcPr>
            <w:tcW w:type="dxa" w:w="6060"/>
            <w:tcMar>
              <w:top w:type="dxa" w:w="60"/>
              <w:left w:type="dxa" w:w="90"/>
              <w:bottom w:type="dxa" w:w="60"/>
              <w:right w:type="dxa" w:w="90"/>
            </w:tcMar>
            <w:vAlign w:val="top"/>
          </w:tcPr>
          <w:p>
            <w:pPr>
              <w:jc w:val="left"/>
            </w:pPr>
            <w:r>
              <w:t xml:space="preserve">Cosmetic, edge-case, or enhancement.</w:t>
            </w:r>
          </w:p>
        </w:tc>
        <w:tc>
          <w:tcPr>
            <w:tcW w:type="dxa" w:w="1800"/>
            <w:tcMar>
              <w:top w:type="dxa" w:w="60"/>
              <w:left w:type="dxa" w:w="90"/>
              <w:bottom w:type="dxa" w:w="60"/>
              <w:right w:type="dxa" w:w="90"/>
            </w:tcMar>
            <w:vAlign w:val="top"/>
          </w:tcPr>
          <w:p>
            <w:pPr>
              <w:jc w:val="center"/>
            </w:pPr>
            <w:r>
              <w:rPr>
                <w:color w:val="595959"/>
              </w:rPr>
              <w:t xml:space="preserve">No — post-launch</w:t>
            </w:r>
          </w:p>
        </w:tc>
      </w:tr>
    </w:tbl>
    <w:p>
      <w:pPr>
        <w:pStyle w:val="Heading1"/>
        <w:spacing w:after="100" w:before="260"/>
      </w:pPr>
      <w:r>
        <w:rPr>
          <w:b/>
          <w:bCs/>
          <w:color w:val="1F3864"/>
          <w:sz w:val="26"/>
          <w:szCs w:val="26"/>
        </w:rPr>
        <w:t xml:space="preserve">4. In scope vs. out of scope</w:t>
      </w:r>
    </w:p>
    <w:p>
      <w:pPr>
        <w:spacing w:after="120" w:line="276"/>
      </w:pPr>
      <w:r>
        <w:t xml:space="preserve">The pre-launch phase (unpaid, per Clause 3.1) covers only the left column. Everything in the right column is post-launch, paid work under Clause 3.2.</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color="auto" w:val="clear"/>
            <w:tcMar>
              <w:top w:type="dxa" w:w="60"/>
              <w:left w:type="dxa" w:w="90"/>
              <w:bottom w:type="dxa" w:w="60"/>
              <w:right w:type="dxa" w:w="90"/>
            </w:tcMar>
            <w:vAlign w:val="top"/>
          </w:tcPr>
          <w:p>
            <w:pPr>
              <w:jc w:val="left"/>
            </w:pPr>
            <w:r>
              <w:rPr>
                <w:b/>
                <w:bCs/>
                <w:color w:val="FFFFFF"/>
                <w:sz w:val="20"/>
                <w:szCs w:val="20"/>
              </w:rPr>
              <w:t xml:space="preserve">In scope — pre-launch (unpaid)</w:t>
            </w:r>
          </w:p>
        </w:tc>
        <w:tc>
          <w:tcPr>
            <w:tcW w:type="dxa" w:w="4680"/>
            <w:shd w:fill="1F3864" w:color="auto" w:val="clear"/>
            <w:tcMar>
              <w:top w:type="dxa" w:w="60"/>
              <w:left w:type="dxa" w:w="90"/>
              <w:bottom w:type="dxa" w:w="60"/>
              <w:right w:type="dxa" w:w="90"/>
            </w:tcMar>
            <w:vAlign w:val="top"/>
          </w:tcPr>
          <w:p>
            <w:pPr>
              <w:jc w:val="left"/>
            </w:pPr>
            <w:r>
              <w:rPr>
                <w:b/>
                <w:bCs/>
                <w:color w:val="FFFFFF"/>
                <w:sz w:val="20"/>
                <w:szCs w:val="20"/>
              </w:rPr>
              <w:t xml:space="preserve">Out of scope — post-launch (paid)</w:t>
            </w:r>
          </w:p>
        </w:tc>
      </w:tr>
      <w:tr>
        <w:tc>
          <w:tcPr>
            <w:tcW w:type="dxa" w:w="4680"/>
            <w:tcMar>
              <w:top w:type="dxa" w:w="60"/>
              <w:left w:type="dxa" w:w="90"/>
              <w:bottom w:type="dxa" w:w="60"/>
              <w:right w:type="dxa" w:w="90"/>
            </w:tcMar>
            <w:vAlign w:val="top"/>
          </w:tcPr>
          <w:p>
            <w:pPr>
              <w:jc w:val="left"/>
            </w:pPr>
            <w:r>
              <w:t xml:space="preserve">The five Primary Deliverables (Agreement 2.1)</w:t>
            </w:r>
          </w:p>
        </w:tc>
        <w:tc>
          <w:tcPr>
            <w:tcW w:type="dxa" w:w="4680"/>
            <w:tcMar>
              <w:top w:type="dxa" w:w="60"/>
              <w:left w:type="dxa" w:w="90"/>
              <w:bottom w:type="dxa" w:w="60"/>
              <w:right w:type="dxa" w:w="90"/>
            </w:tcMar>
            <w:vAlign w:val="top"/>
          </w:tcPr>
          <w:p>
            <w:pPr>
              <w:jc w:val="left"/>
            </w:pPr>
            <w:r>
              <w:t xml:space="preserve">P2 / P3 bugs and cosmetic issues</w:t>
            </w:r>
          </w:p>
        </w:tc>
      </w:tr>
      <w:tr>
        <w:tc>
          <w:tcPr>
            <w:tcW w:type="dxa" w:w="4680"/>
            <w:tcMar>
              <w:top w:type="dxa" w:w="60"/>
              <w:left w:type="dxa" w:w="90"/>
              <w:bottom w:type="dxa" w:w="60"/>
              <w:right w:type="dxa" w:w="90"/>
            </w:tcMar>
            <w:vAlign w:val="top"/>
          </w:tcPr>
          <w:p>
            <w:pPr>
              <w:jc w:val="left"/>
            </w:pPr>
            <w:r>
              <w:t xml:space="preserve">Closing all P0 / P1 launch-blockers on the punch-list (§5)</w:t>
            </w:r>
          </w:p>
        </w:tc>
        <w:tc>
          <w:tcPr>
            <w:tcW w:type="dxa" w:w="4680"/>
            <w:tcMar>
              <w:top w:type="dxa" w:w="60"/>
              <w:left w:type="dxa" w:w="90"/>
              <w:bottom w:type="dxa" w:w="60"/>
              <w:right w:type="dxa" w:w="90"/>
            </w:tcMar>
            <w:vAlign w:val="top"/>
          </w:tcPr>
          <w:p>
            <w:pPr>
              <w:jc w:val="left"/>
            </w:pPr>
            <w:r>
              <w:t xml:space="preserve">New features and enhancements (Agreement 2.3)</w:t>
            </w:r>
          </w:p>
        </w:tc>
      </w:tr>
      <w:tr>
        <w:tc>
          <w:tcPr>
            <w:tcW w:type="dxa" w:w="4680"/>
            <w:tcMar>
              <w:top w:type="dxa" w:w="60"/>
              <w:left w:type="dxa" w:w="90"/>
              <w:bottom w:type="dxa" w:w="60"/>
              <w:right w:type="dxa" w:w="90"/>
            </w:tcMar>
            <w:vAlign w:val="top"/>
          </w:tcPr>
          <w:p>
            <w:pPr>
              <w:jc w:val="left"/>
            </w:pPr>
            <w:r>
              <w:t xml:space="preserve">Deployment steps required to go live: production migration, edge-function deploys, live Paystack cut-over, auth redirect config</w:t>
            </w:r>
          </w:p>
        </w:tc>
        <w:tc>
          <w:tcPr>
            <w:tcW w:type="dxa" w:w="4680"/>
            <w:tcMar>
              <w:top w:type="dxa" w:w="60"/>
              <w:left w:type="dxa" w:w="90"/>
              <w:bottom w:type="dxa" w:w="60"/>
              <w:right w:type="dxa" w:w="90"/>
            </w:tcMar>
            <w:vAlign w:val="top"/>
          </w:tcPr>
          <w:p>
            <w:pPr>
              <w:jc w:val="left"/>
            </w:pPr>
            <w:r>
              <w:t xml:space="preserve">Broader security hardening beyond the launch-blockers</w:t>
            </w:r>
          </w:p>
        </w:tc>
      </w:tr>
      <w:tr>
        <w:tc>
          <w:tcPr>
            <w:tcW w:type="dxa" w:w="4680"/>
            <w:tcMar>
              <w:top w:type="dxa" w:w="60"/>
              <w:left w:type="dxa" w:w="90"/>
              <w:bottom w:type="dxa" w:w="60"/>
              <w:right w:type="dxa" w:w="90"/>
            </w:tcMar>
            <w:vAlign w:val="top"/>
          </w:tcPr>
          <w:p>
            <w:pPr>
              <w:jc w:val="left"/>
            </w:pPr>
            <w:r>
              <w:t xml:space="preserve">One successful real end-to-end payment in production (pilot)</w:t>
            </w:r>
          </w:p>
        </w:tc>
        <w:tc>
          <w:tcPr>
            <w:tcW w:type="dxa" w:w="4680"/>
            <w:tcMar>
              <w:top w:type="dxa" w:w="60"/>
              <w:left w:type="dxa" w:w="90"/>
              <w:bottom w:type="dxa" w:w="60"/>
              <w:right w:type="dxa" w:w="90"/>
            </w:tcMar>
            <w:vAlign w:val="top"/>
          </w:tcPr>
          <w:p>
            <w:pPr>
              <w:jc w:val="left"/>
            </w:pPr>
            <w:r>
              <w:t xml:space="preserve">Ongoing maintenance, monitoring, performance tuning, and per-school support</w:t>
            </w:r>
          </w:p>
        </w:tc>
      </w:tr>
    </w:tbl>
    <w:p>
      <w:pPr>
        <w:pStyle w:val="Heading1"/>
        <w:spacing w:after="100" w:before="260"/>
      </w:pPr>
      <w:r>
        <w:rPr>
          <w:b/>
          <w:bCs/>
          <w:color w:val="1F3864"/>
          <w:sz w:val="26"/>
          <w:szCs w:val="26"/>
        </w:rPr>
        <w:t xml:space="preserve">5. Launch punch-list</w:t>
      </w:r>
    </w:p>
    <w:p>
      <w:pPr>
        <w:spacing w:after="120" w:line="276"/>
      </w:pPr>
      <w:r>
        <w:t xml:space="preserve">A living list of the specific items to close before Launch. New launch-blockers found during review are added here by written agreement (Agreement Clause 9).</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40"/>
        <w:gridCol w:w="5120"/>
        <w:gridCol w:w="900"/>
        <w:gridCol w:w="1100"/>
        <w:gridCol w:w="1600"/>
      </w:tblGrid>
      <w:tr>
        <w:trPr>
          <w:tblHeader/>
        </w:trPr>
        <w:tc>
          <w:tcPr>
            <w:tcW w:type="dxa" w:w="640"/>
            <w:shd w:fill="1F3864" w:color="auto" w:val="clear"/>
            <w:tcMar>
              <w:top w:type="dxa" w:w="60"/>
              <w:left w:type="dxa" w:w="90"/>
              <w:bottom w:type="dxa" w:w="60"/>
              <w:right w:type="dxa" w:w="90"/>
            </w:tcMar>
            <w:vAlign w:val="top"/>
          </w:tcPr>
          <w:p>
            <w:pPr>
              <w:jc w:val="left"/>
            </w:pPr>
            <w:r>
              <w:rPr>
                <w:b/>
                <w:bCs/>
                <w:color w:val="FFFFFF"/>
                <w:sz w:val="20"/>
                <w:szCs w:val="20"/>
              </w:rPr>
              <w:t xml:space="preserve">ID</w:t>
            </w:r>
          </w:p>
        </w:tc>
        <w:tc>
          <w:tcPr>
            <w:tcW w:type="dxa" w:w="5120"/>
            <w:shd w:fill="1F3864" w:color="auto" w:val="clear"/>
            <w:tcMar>
              <w:top w:type="dxa" w:w="60"/>
              <w:left w:type="dxa" w:w="90"/>
              <w:bottom w:type="dxa" w:w="60"/>
              <w:right w:type="dxa" w:w="90"/>
            </w:tcMar>
            <w:vAlign w:val="top"/>
          </w:tcPr>
          <w:p>
            <w:pPr>
              <w:jc w:val="left"/>
            </w:pPr>
            <w:r>
              <w:rPr>
                <w:b/>
                <w:bCs/>
                <w:color w:val="FFFFFF"/>
                <w:sz w:val="20"/>
                <w:szCs w:val="20"/>
              </w:rPr>
              <w:t xml:space="preserve">Item</w:t>
            </w:r>
          </w:p>
        </w:tc>
        <w:tc>
          <w:tcPr>
            <w:tcW w:type="dxa" w:w="900"/>
            <w:shd w:fill="1F3864" w:color="auto" w:val="clear"/>
            <w:tcMar>
              <w:top w:type="dxa" w:w="60"/>
              <w:left w:type="dxa" w:w="90"/>
              <w:bottom w:type="dxa" w:w="60"/>
              <w:right w:type="dxa" w:w="90"/>
            </w:tcMar>
            <w:vAlign w:val="top"/>
          </w:tcPr>
          <w:p>
            <w:pPr>
              <w:jc w:val="left"/>
            </w:pPr>
            <w:r>
              <w:rPr>
                <w:b/>
                <w:bCs/>
                <w:color w:val="FFFFFF"/>
                <w:sz w:val="20"/>
                <w:szCs w:val="20"/>
              </w:rPr>
              <w:t xml:space="preserve">Sev.</w:t>
            </w:r>
          </w:p>
        </w:tc>
        <w:tc>
          <w:tcPr>
            <w:tcW w:type="dxa" w:w="1100"/>
            <w:shd w:fill="1F3864" w:color="auto" w:val="clear"/>
            <w:tcMar>
              <w:top w:type="dxa" w:w="60"/>
              <w:left w:type="dxa" w:w="90"/>
              <w:bottom w:type="dxa" w:w="60"/>
              <w:right w:type="dxa" w:w="90"/>
            </w:tcMar>
            <w:vAlign w:val="top"/>
          </w:tcPr>
          <w:p>
            <w:pPr>
              <w:jc w:val="left"/>
            </w:pPr>
            <w:r>
              <w:rPr>
                <w:b/>
                <w:bCs/>
                <w:color w:val="FFFFFF"/>
                <w:sz w:val="20"/>
                <w:szCs w:val="20"/>
              </w:rPr>
              <w:t xml:space="preserve">Blocking</w:t>
            </w:r>
          </w:p>
        </w:tc>
        <w:tc>
          <w:tcPr>
            <w:tcW w:type="dxa" w:w="1600"/>
            <w:shd w:fill="1F3864" w:color="auto" w:val="clear"/>
            <w:tcMar>
              <w:top w:type="dxa" w:w="60"/>
              <w:left w:type="dxa" w:w="90"/>
              <w:bottom w:type="dxa" w:w="60"/>
              <w:right w:type="dxa" w:w="90"/>
            </w:tcMar>
            <w:vAlign w:val="top"/>
          </w:tcPr>
          <w:p>
            <w:pPr>
              <w:jc w:val="left"/>
            </w:pPr>
            <w:r>
              <w:rPr>
                <w:b/>
                <w:bCs/>
                <w:color w:val="FFFFFF"/>
                <w:sz w:val="20"/>
                <w:szCs w:val="20"/>
              </w:rPr>
              <w:t xml:space="preserve">Status</w:t>
            </w:r>
          </w:p>
        </w:tc>
      </w:tr>
      <w:tr>
        <w:tc>
          <w:tcPr>
            <w:tcW w:type="dxa" w:w="640"/>
            <w:tcMar>
              <w:top w:type="dxa" w:w="60"/>
              <w:left w:type="dxa" w:w="90"/>
              <w:bottom w:type="dxa" w:w="60"/>
              <w:right w:type="dxa" w:w="90"/>
            </w:tcMar>
            <w:vAlign w:val="top"/>
          </w:tcPr>
          <w:p>
            <w:pPr>
              <w:jc w:val="left"/>
            </w:pPr>
            <w:r>
              <w:rPr>
                <w:b/>
                <w:bCs/>
                <w:sz w:val="18"/>
                <w:szCs w:val="18"/>
              </w:rPr>
              <w:t xml:space="preserve">PL-01</w:t>
            </w:r>
          </w:p>
        </w:tc>
        <w:tc>
          <w:tcPr>
            <w:tcW w:type="dxa" w:w="5120"/>
            <w:tcMar>
              <w:top w:type="dxa" w:w="60"/>
              <w:left w:type="dxa" w:w="90"/>
              <w:bottom w:type="dxa" w:w="60"/>
              <w:right w:type="dxa" w:w="90"/>
            </w:tcMar>
          </w:tcPr>
          <w:p>
            <w:pPr>
              <w:spacing w:after="40"/>
            </w:pPr>
            <w:r>
              <w:rPr>
                <w:sz w:val="18"/>
                <w:szCs w:val="18"/>
              </w:rPr>
              <w:t xml:space="preserve">Cut Paystack over to live mode: live secret key set as edge-function secret, live webhook URL configured, subaccount provisioning verified on a real school.</w:t>
            </w:r>
          </w:p>
          <w:p>
            <w:r>
              <w:rPr>
                <w:b/>
                <w:bCs/>
                <w:i/>
                <w:iCs/>
                <w:color w:val="1F3864"/>
                <w:sz w:val="17"/>
                <w:szCs w:val="17"/>
              </w:rPr>
              <w:t xml:space="preserve">What this means: </w:t>
            </w:r>
            <w:r>
              <w:rPr>
                <w:i/>
                <w:iCs/>
                <w:color w:val="595959"/>
                <w:sz w:val="17"/>
                <w:szCs w:val="17"/>
              </w:rPr>
              <w:t xml:space="preserve">Payments currently run in Paystack's practice mode with fake money. This switches the system to live mode so real parents can pay real fees and the money reaches the school.</w:t>
            </w:r>
          </w:p>
        </w:tc>
        <w:tc>
          <w:tcPr>
            <w:tcW w:type="dxa" w:w="900"/>
            <w:tcMar>
              <w:top w:type="dxa" w:w="60"/>
              <w:left w:type="dxa" w:w="90"/>
              <w:bottom w:type="dxa" w:w="60"/>
              <w:right w:type="dxa" w:w="90"/>
            </w:tcMar>
            <w:vAlign w:val="top"/>
          </w:tcPr>
          <w:p>
            <w:pPr>
              <w:jc w:val="center"/>
            </w:pPr>
            <w:r>
              <w:rPr>
                <w:sz w:val="18"/>
                <w:szCs w:val="18"/>
              </w:rPr>
              <w:t xml:space="preserve">P0</w:t>
            </w:r>
          </w:p>
        </w:tc>
        <w:tc>
          <w:tcPr>
            <w:tcW w:type="dxa" w:w="1100"/>
            <w:tcMar>
              <w:top w:type="dxa" w:w="60"/>
              <w:left w:type="dxa" w:w="90"/>
              <w:bottom w:type="dxa" w:w="60"/>
              <w:right w:type="dxa" w:w="90"/>
            </w:tcMar>
            <w:vAlign w:val="top"/>
          </w:tcPr>
          <w:p>
            <w:pPr>
              <w:jc w:val="center"/>
            </w:pPr>
            <w:r>
              <w:rPr>
                <w:b/>
                <w:bCs/>
                <w:color w:val="1F3864"/>
                <w:sz w:val="18"/>
                <w:szCs w:val="18"/>
              </w:rPr>
              <w:t xml:space="preserve">Yes</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PL-02</w:t>
            </w:r>
          </w:p>
        </w:tc>
        <w:tc>
          <w:tcPr>
            <w:tcW w:type="dxa" w:w="5120"/>
            <w:tcMar>
              <w:top w:type="dxa" w:w="60"/>
              <w:left w:type="dxa" w:w="90"/>
              <w:bottom w:type="dxa" w:w="60"/>
              <w:right w:type="dxa" w:w="90"/>
            </w:tcMar>
          </w:tcPr>
          <w:p>
            <w:pPr>
              <w:spacing w:after="40"/>
            </w:pPr>
            <w:r>
              <w:rPr>
                <w:sz w:val="18"/>
                <w:szCs w:val="18"/>
              </w:rPr>
              <w:t xml:space="preserve">Verify the fee gross-up math stays identical in create-paystack-payment and SchoolStudentDashboard, so the school's subaccount always settles the exact fee while the platform charge (1%) and the Paystack gateway charge both ride on top.</w:t>
            </w:r>
          </w:p>
          <w:p>
            <w:r>
              <w:rPr>
                <w:b/>
                <w:bCs/>
                <w:i/>
                <w:iCs/>
                <w:color w:val="1F3864"/>
                <w:sz w:val="17"/>
                <w:szCs w:val="17"/>
              </w:rPr>
              <w:t xml:space="preserve">What this means: </w:t>
            </w:r>
            <w:r>
              <w:rPr>
                <w:i/>
                <w:iCs/>
                <w:color w:val="595959"/>
                <w:sz w:val="17"/>
                <w:szCs w:val="17"/>
              </w:rPr>
              <w:t xml:space="preserve">Make sure the money split is exactly right — the school receives its full, exact fee, and the parent covers both charges on top (platform charge + gateway charge). This calculation sits in two places in the code and both must match, or amounts will be wrong.</w:t>
            </w:r>
          </w:p>
        </w:tc>
        <w:tc>
          <w:tcPr>
            <w:tcW w:type="dxa" w:w="900"/>
            <w:tcMar>
              <w:top w:type="dxa" w:w="60"/>
              <w:left w:type="dxa" w:w="90"/>
              <w:bottom w:type="dxa" w:w="60"/>
              <w:right w:type="dxa" w:w="90"/>
            </w:tcMar>
            <w:vAlign w:val="top"/>
          </w:tcPr>
          <w:p>
            <w:pPr>
              <w:jc w:val="center"/>
            </w:pPr>
            <w:r>
              <w:rPr>
                <w:sz w:val="18"/>
                <w:szCs w:val="18"/>
              </w:rPr>
              <w:t xml:space="preserve">P1</w:t>
            </w:r>
          </w:p>
        </w:tc>
        <w:tc>
          <w:tcPr>
            <w:tcW w:type="dxa" w:w="1100"/>
            <w:tcMar>
              <w:top w:type="dxa" w:w="60"/>
              <w:left w:type="dxa" w:w="90"/>
              <w:bottom w:type="dxa" w:w="60"/>
              <w:right w:type="dxa" w:w="90"/>
            </w:tcMar>
            <w:vAlign w:val="top"/>
          </w:tcPr>
          <w:p>
            <w:pPr>
              <w:jc w:val="center"/>
            </w:pPr>
            <w:r>
              <w:rPr>
                <w:b/>
                <w:bCs/>
                <w:color w:val="1F3864"/>
                <w:sz w:val="18"/>
                <w:szCs w:val="18"/>
              </w:rPr>
              <w:t xml:space="preserve">Yes</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PL-03</w:t>
            </w:r>
          </w:p>
        </w:tc>
        <w:tc>
          <w:tcPr>
            <w:tcW w:type="dxa" w:w="5120"/>
            <w:tcMar>
              <w:top w:type="dxa" w:w="60"/>
              <w:left w:type="dxa" w:w="90"/>
              <w:bottom w:type="dxa" w:w="60"/>
              <w:right w:type="dxa" w:w="90"/>
            </w:tcMar>
          </w:tcPr>
          <w:p>
            <w:pPr>
              <w:spacing w:after="40"/>
            </w:pPr>
            <w:r>
              <w:rPr>
                <w:sz w:val="18"/>
                <w:szCs w:val="18"/>
              </w:rPr>
              <w:t xml:space="preserve">Apply the pending reconcile migration (20260706130000) to production via the SQL Editor.</w:t>
            </w:r>
          </w:p>
          <w:p>
            <w:r>
              <w:rPr>
                <w:b/>
                <w:bCs/>
                <w:i/>
                <w:iCs/>
                <w:color w:val="1F3864"/>
                <w:sz w:val="17"/>
                <w:szCs w:val="17"/>
              </w:rPr>
              <w:t xml:space="preserve">What this means: </w:t>
            </w:r>
            <w:r>
              <w:rPr>
                <w:i/>
                <w:iCs/>
                <w:color w:val="595959"/>
                <w:sz w:val="17"/>
                <w:szCs w:val="17"/>
              </w:rPr>
              <w:t xml:space="preserve">Run one prepared update on the live database so its structure matches what the app expects. (A “migration” is a controlled change to the database.)</w:t>
            </w:r>
          </w:p>
        </w:tc>
        <w:tc>
          <w:tcPr>
            <w:tcW w:type="dxa" w:w="900"/>
            <w:tcMar>
              <w:top w:type="dxa" w:w="60"/>
              <w:left w:type="dxa" w:w="90"/>
              <w:bottom w:type="dxa" w:w="60"/>
              <w:right w:type="dxa" w:w="90"/>
            </w:tcMar>
            <w:vAlign w:val="top"/>
          </w:tcPr>
          <w:p>
            <w:pPr>
              <w:jc w:val="center"/>
            </w:pPr>
            <w:r>
              <w:rPr>
                <w:sz w:val="18"/>
                <w:szCs w:val="18"/>
              </w:rPr>
              <w:t xml:space="preserve">P0</w:t>
            </w:r>
          </w:p>
        </w:tc>
        <w:tc>
          <w:tcPr>
            <w:tcW w:type="dxa" w:w="1100"/>
            <w:tcMar>
              <w:top w:type="dxa" w:w="60"/>
              <w:left w:type="dxa" w:w="90"/>
              <w:bottom w:type="dxa" w:w="60"/>
              <w:right w:type="dxa" w:w="90"/>
            </w:tcMar>
            <w:vAlign w:val="top"/>
          </w:tcPr>
          <w:p>
            <w:pPr>
              <w:jc w:val="center"/>
            </w:pPr>
            <w:r>
              <w:rPr>
                <w:b/>
                <w:bCs/>
                <w:color w:val="1F3864"/>
                <w:sz w:val="18"/>
                <w:szCs w:val="18"/>
              </w:rPr>
              <w:t xml:space="preserve">Yes</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PL-04</w:t>
            </w:r>
          </w:p>
        </w:tc>
        <w:tc>
          <w:tcPr>
            <w:tcW w:type="dxa" w:w="5120"/>
            <w:tcMar>
              <w:top w:type="dxa" w:w="60"/>
              <w:left w:type="dxa" w:w="90"/>
              <w:bottom w:type="dxa" w:w="60"/>
              <w:right w:type="dxa" w:w="90"/>
            </w:tcMar>
          </w:tcPr>
          <w:p>
            <w:pPr>
              <w:spacing w:after="40"/>
            </w:pPr>
            <w:r>
              <w:rPr>
                <w:sz w:val="18"/>
                <w:szCs w:val="18"/>
              </w:rPr>
              <w:t xml:space="preserve">Redeploy the edited edge functions (register-school, change-pin, add-bursar, check-user-exists) to production.</w:t>
            </w:r>
          </w:p>
          <w:p>
            <w:r>
              <w:rPr>
                <w:b/>
                <w:bCs/>
                <w:i/>
                <w:iCs/>
                <w:color w:val="1F3864"/>
                <w:sz w:val="17"/>
                <w:szCs w:val="17"/>
              </w:rPr>
              <w:t xml:space="preserve">What this means: </w:t>
            </w:r>
            <w:r>
              <w:rPr>
                <w:i/>
                <w:iCs/>
                <w:color w:val="595959"/>
                <w:sz w:val="17"/>
                <w:szCs w:val="17"/>
              </w:rPr>
              <w:t xml:space="preserve">Four updated pieces of secure server-side code exist but haven't been published to the live site yet — they need to be pushed live.</w:t>
            </w:r>
          </w:p>
        </w:tc>
        <w:tc>
          <w:tcPr>
            <w:tcW w:type="dxa" w:w="900"/>
            <w:tcMar>
              <w:top w:type="dxa" w:w="60"/>
              <w:left w:type="dxa" w:w="90"/>
              <w:bottom w:type="dxa" w:w="60"/>
              <w:right w:type="dxa" w:w="90"/>
            </w:tcMar>
            <w:vAlign w:val="top"/>
          </w:tcPr>
          <w:p>
            <w:pPr>
              <w:jc w:val="center"/>
            </w:pPr>
            <w:r>
              <w:rPr>
                <w:sz w:val="18"/>
                <w:szCs w:val="18"/>
              </w:rPr>
              <w:t xml:space="preserve">P0</w:t>
            </w:r>
          </w:p>
        </w:tc>
        <w:tc>
          <w:tcPr>
            <w:tcW w:type="dxa" w:w="1100"/>
            <w:tcMar>
              <w:top w:type="dxa" w:w="60"/>
              <w:left w:type="dxa" w:w="90"/>
              <w:bottom w:type="dxa" w:w="60"/>
              <w:right w:type="dxa" w:w="90"/>
            </w:tcMar>
            <w:vAlign w:val="top"/>
          </w:tcPr>
          <w:p>
            <w:pPr>
              <w:jc w:val="center"/>
            </w:pPr>
            <w:r>
              <w:rPr>
                <w:b/>
                <w:bCs/>
                <w:color w:val="1F3864"/>
                <w:sz w:val="18"/>
                <w:szCs w:val="18"/>
              </w:rPr>
              <w:t xml:space="preserve">Yes</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PL-05</w:t>
            </w:r>
          </w:p>
        </w:tc>
        <w:tc>
          <w:tcPr>
            <w:tcW w:type="dxa" w:w="5120"/>
            <w:tcMar>
              <w:top w:type="dxa" w:w="60"/>
              <w:left w:type="dxa" w:w="90"/>
              <w:bottom w:type="dxa" w:w="60"/>
              <w:right w:type="dxa" w:w="90"/>
            </w:tcMar>
          </w:tcPr>
          <w:p>
            <w:pPr>
              <w:spacing w:after="40"/>
            </w:pPr>
            <w:r>
              <w:rPr>
                <w:sz w:val="18"/>
                <w:szCs w:val="18"/>
              </w:rPr>
              <w:t xml:space="preserve">Add each origin's /account-recovery URL to Supabase Auth redirect URLs (owner password reset).</w:t>
            </w:r>
          </w:p>
          <w:p>
            <w:r>
              <w:rPr>
                <w:b/>
                <w:bCs/>
                <w:i/>
                <w:iCs/>
                <w:color w:val="1F3864"/>
                <w:sz w:val="17"/>
                <w:szCs w:val="17"/>
              </w:rPr>
              <w:t xml:space="preserve">What this means: </w:t>
            </w:r>
            <w:r>
              <w:rPr>
                <w:i/>
                <w:iCs/>
                <w:color w:val="595959"/>
                <w:sz w:val="17"/>
                <w:szCs w:val="17"/>
              </w:rPr>
              <w:t xml:space="preserve">A settings change so the “forgot password” email for school owners actually works and sends them to the correct page.</w:t>
            </w:r>
          </w:p>
        </w:tc>
        <w:tc>
          <w:tcPr>
            <w:tcW w:type="dxa" w:w="900"/>
            <w:tcMar>
              <w:top w:type="dxa" w:w="60"/>
              <w:left w:type="dxa" w:w="90"/>
              <w:bottom w:type="dxa" w:w="60"/>
              <w:right w:type="dxa" w:w="90"/>
            </w:tcMar>
            <w:vAlign w:val="top"/>
          </w:tcPr>
          <w:p>
            <w:pPr>
              <w:jc w:val="center"/>
            </w:pPr>
            <w:r>
              <w:rPr>
                <w:sz w:val="18"/>
                <w:szCs w:val="18"/>
              </w:rPr>
              <w:t xml:space="preserve">P1</w:t>
            </w:r>
          </w:p>
        </w:tc>
        <w:tc>
          <w:tcPr>
            <w:tcW w:type="dxa" w:w="1100"/>
            <w:tcMar>
              <w:top w:type="dxa" w:w="60"/>
              <w:left w:type="dxa" w:w="90"/>
              <w:bottom w:type="dxa" w:w="60"/>
              <w:right w:type="dxa" w:w="90"/>
            </w:tcMar>
            <w:vAlign w:val="top"/>
          </w:tcPr>
          <w:p>
            <w:pPr>
              <w:jc w:val="center"/>
            </w:pPr>
            <w:r>
              <w:rPr>
                <w:b/>
                <w:bCs/>
                <w:color w:val="1F3864"/>
                <w:sz w:val="18"/>
                <w:szCs w:val="18"/>
              </w:rPr>
              <w:t xml:space="preserve">Yes</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PL-06</w:t>
            </w:r>
          </w:p>
        </w:tc>
        <w:tc>
          <w:tcPr>
            <w:tcW w:type="dxa" w:w="5120"/>
            <w:tcMar>
              <w:top w:type="dxa" w:w="60"/>
              <w:left w:type="dxa" w:w="90"/>
              <w:bottom w:type="dxa" w:w="60"/>
              <w:right w:type="dxa" w:w="90"/>
            </w:tcMar>
          </w:tcPr>
          <w:p>
            <w:pPr>
              <w:spacing w:after="40"/>
            </w:pPr>
            <w:r>
              <w:rPr>
                <w:sz w:val="18"/>
                <w:szCs w:val="18"/>
              </w:rPr>
              <w:t xml:space="preserve">Student PIN + school_admins readable via the anon key; ResetPassword.tsx writes to students from the browser — move reset-password into an edge function and tighten RLS.</w:t>
            </w:r>
          </w:p>
          <w:p>
            <w:r>
              <w:rPr>
                <w:b/>
                <w:bCs/>
                <w:i/>
                <w:iCs/>
                <w:color w:val="1F3864"/>
                <w:sz w:val="17"/>
                <w:szCs w:val="17"/>
              </w:rPr>
              <w:t xml:space="preserve">What this means: </w:t>
            </w:r>
            <w:r>
              <w:rPr>
                <w:i/>
                <w:iCs/>
                <w:color w:val="595959"/>
                <w:sz w:val="17"/>
                <w:szCs w:val="17"/>
              </w:rPr>
              <w:t xml:space="preserve">Right now student PINs and admin records can be read from the public part of the system that any browser can reach — a security hole. Fixing it moves password changes to secure server-side code and locks down who can read what.</w:t>
            </w:r>
          </w:p>
        </w:tc>
        <w:tc>
          <w:tcPr>
            <w:tcW w:type="dxa" w:w="900"/>
            <w:tcMar>
              <w:top w:type="dxa" w:w="60"/>
              <w:left w:type="dxa" w:w="90"/>
              <w:bottom w:type="dxa" w:w="60"/>
              <w:right w:type="dxa" w:w="90"/>
            </w:tcMar>
            <w:vAlign w:val="top"/>
          </w:tcPr>
          <w:p>
            <w:pPr>
              <w:jc w:val="center"/>
            </w:pPr>
            <w:r>
              <w:rPr>
                <w:sz w:val="18"/>
                <w:szCs w:val="18"/>
              </w:rPr>
              <w:t xml:space="preserve">P1 (sec.)</w:t>
            </w:r>
          </w:p>
        </w:tc>
        <w:tc>
          <w:tcPr>
            <w:tcW w:type="dxa" w:w="1100"/>
            <w:tcMar>
              <w:top w:type="dxa" w:w="60"/>
              <w:left w:type="dxa" w:w="90"/>
              <w:bottom w:type="dxa" w:w="60"/>
              <w:right w:type="dxa" w:w="90"/>
            </w:tcMar>
            <w:vAlign w:val="top"/>
          </w:tcPr>
          <w:p>
            <w:pPr>
              <w:jc w:val="center"/>
            </w:pPr>
            <w:r>
              <w:rPr>
                <w:b/>
                <w:bCs/>
                <w:color w:val="1F3864"/>
                <w:sz w:val="18"/>
                <w:szCs w:val="18"/>
              </w:rPr>
              <w:t xml:space="preserve">Yes *</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PL-07</w:t>
            </w:r>
          </w:p>
        </w:tc>
        <w:tc>
          <w:tcPr>
            <w:tcW w:type="dxa" w:w="5120"/>
            <w:tcMar>
              <w:top w:type="dxa" w:w="60"/>
              <w:left w:type="dxa" w:w="90"/>
              <w:bottom w:type="dxa" w:w="60"/>
              <w:right w:type="dxa" w:w="90"/>
            </w:tcMar>
          </w:tcPr>
          <w:p>
            <w:pPr>
              <w:spacing w:after="40"/>
            </w:pPr>
            <w:r>
              <w:rPr>
                <w:sz w:val="18"/>
                <w:szCs w:val="18"/>
              </w:rPr>
              <w:t xml:space="preserve">add-bursar does not verify the caller owns the school (privilege check).</w:t>
            </w:r>
          </w:p>
          <w:p>
            <w:r>
              <w:rPr>
                <w:b/>
                <w:bCs/>
                <w:i/>
                <w:iCs/>
                <w:color w:val="1F3864"/>
                <w:sz w:val="17"/>
                <w:szCs w:val="17"/>
              </w:rPr>
              <w:t xml:space="preserve">What this means: </w:t>
            </w:r>
            <w:r>
              <w:rPr>
                <w:i/>
                <w:iCs/>
                <w:color w:val="595959"/>
                <w:sz w:val="17"/>
                <w:szCs w:val="17"/>
              </w:rPr>
              <w:t xml:space="preserve">The feature that adds a bursar (a school's finance staff) doesn't currently check that the person doing it actually owns that school. It should verify ownership first.</w:t>
            </w:r>
          </w:p>
        </w:tc>
        <w:tc>
          <w:tcPr>
            <w:tcW w:type="dxa" w:w="900"/>
            <w:tcMar>
              <w:top w:type="dxa" w:w="60"/>
              <w:left w:type="dxa" w:w="90"/>
              <w:bottom w:type="dxa" w:w="60"/>
              <w:right w:type="dxa" w:w="90"/>
            </w:tcMar>
            <w:vAlign w:val="top"/>
          </w:tcPr>
          <w:p>
            <w:pPr>
              <w:jc w:val="center"/>
            </w:pPr>
            <w:r>
              <w:rPr>
                <w:sz w:val="18"/>
                <w:szCs w:val="18"/>
              </w:rPr>
              <w:t xml:space="preserve">P2</w:t>
            </w:r>
          </w:p>
        </w:tc>
        <w:tc>
          <w:tcPr>
            <w:tcW w:type="dxa" w:w="1100"/>
            <w:tcMar>
              <w:top w:type="dxa" w:w="60"/>
              <w:left w:type="dxa" w:w="90"/>
              <w:bottom w:type="dxa" w:w="60"/>
              <w:right w:type="dxa" w:w="90"/>
            </w:tcMar>
            <w:vAlign w:val="top"/>
          </w:tcPr>
          <w:p>
            <w:pPr>
              <w:jc w:val="center"/>
            </w:pPr>
            <w:r>
              <w:rPr>
                <w:b w:val="false"/>
                <w:bCs w:val="false"/>
                <w:color w:val="222222"/>
                <w:sz w:val="18"/>
                <w:szCs w:val="18"/>
              </w:rPr>
              <w:t xml:space="preserve">Decision</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PL-08</w:t>
            </w:r>
          </w:p>
        </w:tc>
        <w:tc>
          <w:tcPr>
            <w:tcW w:type="dxa" w:w="5120"/>
            <w:tcMar>
              <w:top w:type="dxa" w:w="60"/>
              <w:left w:type="dxa" w:w="90"/>
              <w:bottom w:type="dxa" w:w="60"/>
              <w:right w:type="dxa" w:w="90"/>
            </w:tcMar>
          </w:tcPr>
          <w:p>
            <w:pPr>
              <w:spacing w:after="40"/>
            </w:pPr>
            <w:r>
              <w:rPr>
                <w:sz w:val="18"/>
                <w:szCs w:val="18"/>
              </w:rPr>
              <w:t xml:space="preserve">Two schools have slug = NULL (“My Test School”, “My School”) — unreachable via /school/:slug.</w:t>
            </w:r>
          </w:p>
          <w:p>
            <w:r>
              <w:rPr>
                <w:b/>
                <w:bCs/>
                <w:i/>
                <w:iCs/>
                <w:color w:val="1F3864"/>
                <w:sz w:val="17"/>
                <w:szCs w:val="17"/>
              </w:rPr>
              <w:t xml:space="preserve">What this means: </w:t>
            </w:r>
            <w:r>
              <w:rPr>
                <w:i/>
                <w:iCs/>
                <w:color w:val="595959"/>
                <w:sz w:val="17"/>
                <w:szCs w:val="17"/>
              </w:rPr>
              <w:t xml:space="preserve">Two leftover test schools have no web address, so their pages can't be opened. Minor cleanup of old test data.</w:t>
            </w:r>
          </w:p>
        </w:tc>
        <w:tc>
          <w:tcPr>
            <w:tcW w:type="dxa" w:w="900"/>
            <w:tcMar>
              <w:top w:type="dxa" w:w="60"/>
              <w:left w:type="dxa" w:w="90"/>
              <w:bottom w:type="dxa" w:w="60"/>
              <w:right w:type="dxa" w:w="90"/>
            </w:tcMar>
            <w:vAlign w:val="top"/>
          </w:tcPr>
          <w:p>
            <w:pPr>
              <w:jc w:val="center"/>
            </w:pPr>
            <w:r>
              <w:rPr>
                <w:sz w:val="18"/>
                <w:szCs w:val="18"/>
              </w:rPr>
              <w:t xml:space="preserve">P3</w:t>
            </w:r>
          </w:p>
        </w:tc>
        <w:tc>
          <w:tcPr>
            <w:tcW w:type="dxa" w:w="1100"/>
            <w:tcMar>
              <w:top w:type="dxa" w:w="60"/>
              <w:left w:type="dxa" w:w="90"/>
              <w:bottom w:type="dxa" w:w="60"/>
              <w:right w:type="dxa" w:w="90"/>
            </w:tcMar>
            <w:vAlign w:val="top"/>
          </w:tcPr>
          <w:p>
            <w:pPr>
              <w:jc w:val="center"/>
            </w:pPr>
            <w:r>
              <w:rPr>
                <w:b w:val="false"/>
                <w:bCs w:val="false"/>
                <w:color w:val="222222"/>
                <w:sz w:val="18"/>
                <w:szCs w:val="18"/>
              </w:rPr>
              <w:t xml:space="preserve">No</w:t>
            </w:r>
          </w:p>
        </w:tc>
        <w:tc>
          <w:tcPr>
            <w:tcW w:type="dxa" w:w="1600"/>
            <w:tcMar>
              <w:top w:type="dxa" w:w="60"/>
              <w:left w:type="dxa" w:w="90"/>
              <w:bottom w:type="dxa" w:w="60"/>
              <w:right w:type="dxa" w:w="90"/>
            </w:tcMar>
            <w:vAlign w:val="top"/>
          </w:tcPr>
          <w:p>
            <w:pPr>
              <w:jc w:val="center"/>
            </w:pPr>
            <w:r>
              <w:rPr>
                <w:sz w:val="18"/>
                <w:szCs w:val="18"/>
              </w:rPr>
              <w:t xml:space="preserve">Open</w:t>
            </w:r>
          </w:p>
        </w:tc>
      </w:tr>
      <w:tr>
        <w:tc>
          <w:tcPr>
            <w:tcW w:type="dxa" w:w="640"/>
            <w:tcMar>
              <w:top w:type="dxa" w:w="60"/>
              <w:left w:type="dxa" w:w="90"/>
              <w:bottom w:type="dxa" w:w="60"/>
              <w:right w:type="dxa" w:w="90"/>
            </w:tcMar>
            <w:vAlign w:val="top"/>
          </w:tcPr>
          <w:p>
            <w:pPr>
              <w:jc w:val="left"/>
            </w:pPr>
            <w:r>
              <w:rPr>
                <w:b/>
                <w:bCs/>
                <w:sz w:val="18"/>
                <w:szCs w:val="18"/>
              </w:rPr>
              <w:t xml:space="preserve">PL-09</w:t>
            </w:r>
          </w:p>
        </w:tc>
        <w:tc>
          <w:tcPr>
            <w:tcW w:type="dxa" w:w="5120"/>
            <w:tcMar>
              <w:top w:type="dxa" w:w="60"/>
              <w:left w:type="dxa" w:w="90"/>
              <w:bottom w:type="dxa" w:w="60"/>
              <w:right w:type="dxa" w:w="90"/>
            </w:tcMar>
          </w:tcPr>
          <w:p>
            <w:pPr>
              <w:spacing w:after="40"/>
            </w:pPr>
            <w:r>
              <w:rPr>
                <w:sz w:val="18"/>
                <w:szCs w:val="18"/>
              </w:rPr>
              <w:t xml:space="preserve">End-to-end UAT with one pilot school on production: onboard → assign fees → student pays → dashboards reflect.</w:t>
            </w:r>
          </w:p>
          <w:p>
            <w:r>
              <w:rPr>
                <w:b/>
                <w:bCs/>
                <w:i/>
                <w:iCs/>
                <w:color w:val="1F3864"/>
                <w:sz w:val="17"/>
                <w:szCs w:val="17"/>
              </w:rPr>
              <w:t xml:space="preserve">What this means: </w:t>
            </w:r>
            <w:r>
              <w:rPr>
                <w:i/>
                <w:iCs/>
                <w:color w:val="595959"/>
                <w:sz w:val="17"/>
                <w:szCs w:val="17"/>
              </w:rPr>
              <w:t xml:space="preserve">A full dress rehearsal with one real school: set them up, add fees, have a student pay, and confirm everything shows correctly — the final check before going live.</w:t>
            </w:r>
          </w:p>
        </w:tc>
        <w:tc>
          <w:tcPr>
            <w:tcW w:type="dxa" w:w="900"/>
            <w:tcMar>
              <w:top w:type="dxa" w:w="60"/>
              <w:left w:type="dxa" w:w="90"/>
              <w:bottom w:type="dxa" w:w="60"/>
              <w:right w:type="dxa" w:w="90"/>
            </w:tcMar>
            <w:vAlign w:val="top"/>
          </w:tcPr>
          <w:p>
            <w:pPr>
              <w:jc w:val="center"/>
            </w:pPr>
            <w:r>
              <w:rPr>
                <w:sz w:val="18"/>
                <w:szCs w:val="18"/>
              </w:rPr>
              <w:t xml:space="preserve">P1</w:t>
            </w:r>
          </w:p>
        </w:tc>
        <w:tc>
          <w:tcPr>
            <w:tcW w:type="dxa" w:w="1100"/>
            <w:tcMar>
              <w:top w:type="dxa" w:w="60"/>
              <w:left w:type="dxa" w:w="90"/>
              <w:bottom w:type="dxa" w:w="60"/>
              <w:right w:type="dxa" w:w="90"/>
            </w:tcMar>
            <w:vAlign w:val="top"/>
          </w:tcPr>
          <w:p>
            <w:pPr>
              <w:jc w:val="center"/>
            </w:pPr>
            <w:r>
              <w:rPr>
                <w:b/>
                <w:bCs/>
                <w:color w:val="1F3864"/>
                <w:sz w:val="18"/>
                <w:szCs w:val="18"/>
              </w:rPr>
              <w:t xml:space="preserve">Yes</w:t>
            </w:r>
          </w:p>
        </w:tc>
        <w:tc>
          <w:tcPr>
            <w:tcW w:type="dxa" w:w="1600"/>
            <w:tcMar>
              <w:top w:type="dxa" w:w="60"/>
              <w:left w:type="dxa" w:w="90"/>
              <w:bottom w:type="dxa" w:w="60"/>
              <w:right w:type="dxa" w:w="90"/>
            </w:tcMar>
            <w:vAlign w:val="top"/>
          </w:tcPr>
          <w:p>
            <w:pPr>
              <w:jc w:val="center"/>
            </w:pPr>
            <w:r>
              <w:rPr>
                <w:sz w:val="18"/>
                <w:szCs w:val="18"/>
              </w:rPr>
              <w:t xml:space="preserve">Open</w:t>
            </w:r>
          </w:p>
        </w:tc>
      </w:tr>
    </w:tbl>
    <w:p>
      <w:pPr>
        <w:pBdr>
          <w:top w:val="single" w:color="E0B080" w:sz="4"/>
          <w:bottom w:val="single" w:color="E0B080" w:sz="4"/>
          <w:left w:val="single" w:color="E0B080" w:sz="4"/>
          <w:right w:val="single" w:color="E0B080" w:sz="4"/>
        </w:pBdr>
        <w:shd w:fill="FCE9D9" w:color="auto" w:val="clear"/>
        <w:spacing w:after="120" w:before="120" w:line="264"/>
      </w:pPr>
      <w:r>
        <w:rPr>
          <w:b/>
          <w:bCs/>
        </w:rPr>
        <w:t xml:space="preserve">*  PL-06 is flagged for a joint decision. </w:t>
      </w:r>
      <w:r>
        <w:t xml:space="preserve">Because it exposes plaintext student PINs on a live payment platform, Party B recommends resolving it before Launch; it requires moving the password-reset flow into an edge function first. If both parties instead choose to accept the risk and fix it immediately post-launch, record that decision here.</w:t>
      </w:r>
    </w:p>
    <w:p>
      <w:pPr>
        <w:pStyle w:val="Heading1"/>
        <w:spacing w:after="100" w:before="260"/>
      </w:pPr>
      <w:r>
        <w:rPr>
          <w:b/>
          <w:bCs/>
          <w:color w:val="1F3864"/>
          <w:sz w:val="26"/>
          <w:szCs w:val="26"/>
        </w:rPr>
        <w:t xml:space="preserve">6. Milestone schedule</w:t>
      </w:r>
    </w:p>
    <w:p>
      <w:pPr>
        <w:spacing w:after="120" w:line="276"/>
      </w:pPr>
      <w:r>
        <w:rPr>
          <w:i/>
          <w:iCs/>
          <w:color w:val="595959"/>
        </w:rPr>
        <w:t xml:space="preserve">Proposed — to be confirmed by both parties. </w:t>
      </w:r>
      <w:r>
        <w:rPr>
          <w:i/>
          <w:iCs/>
          <w:color w:val="595959"/>
        </w:rPr>
        <w:t xml:space="preserve">Dates assume work begins the week of 14 July 2026 and hold the September 2026 launch target. “Staging” is a private test copy of the app; “production” is the real live site (see Glossary, §8).</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6060"/>
        <w:gridCol w:w="2200"/>
      </w:tblGrid>
      <w:tr>
        <w:trPr>
          <w:tblHeader/>
        </w:trPr>
        <w:tc>
          <w:tcPr>
            <w:tcW w:type="dxa" w:w="1100"/>
            <w:shd w:fill="1F3864" w:color="auto" w:val="clear"/>
            <w:tcMar>
              <w:top w:type="dxa" w:w="60"/>
              <w:left w:type="dxa" w:w="90"/>
              <w:bottom w:type="dxa" w:w="60"/>
              <w:right w:type="dxa" w:w="90"/>
            </w:tcMar>
            <w:vAlign w:val="top"/>
          </w:tcPr>
          <w:p>
            <w:pPr>
              <w:jc w:val="left"/>
            </w:pPr>
            <w:r>
              <w:rPr>
                <w:b/>
                <w:bCs/>
                <w:color w:val="FFFFFF"/>
                <w:sz w:val="20"/>
                <w:szCs w:val="20"/>
              </w:rPr>
              <w:t xml:space="preserve">Milestone</w:t>
            </w:r>
          </w:p>
        </w:tc>
        <w:tc>
          <w:tcPr>
            <w:tcW w:type="dxa" w:w="6060"/>
            <w:shd w:fill="1F3864" w:color="auto" w:val="clear"/>
            <w:tcMar>
              <w:top w:type="dxa" w:w="60"/>
              <w:left w:type="dxa" w:w="90"/>
              <w:bottom w:type="dxa" w:w="60"/>
              <w:right w:type="dxa" w:w="90"/>
            </w:tcMar>
            <w:vAlign w:val="top"/>
          </w:tcPr>
          <w:p>
            <w:pPr>
              <w:jc w:val="left"/>
            </w:pPr>
            <w:r>
              <w:rPr>
                <w:b/>
                <w:bCs/>
                <w:color w:val="FFFFFF"/>
                <w:sz w:val="20"/>
                <w:szCs w:val="20"/>
              </w:rPr>
              <w:t xml:space="preserve">Description</w:t>
            </w:r>
          </w:p>
        </w:tc>
        <w:tc>
          <w:tcPr>
            <w:tcW w:type="dxa" w:w="2200"/>
            <w:shd w:fill="1F3864" w:color="auto" w:val="clear"/>
            <w:tcMar>
              <w:top w:type="dxa" w:w="60"/>
              <w:left w:type="dxa" w:w="90"/>
              <w:bottom w:type="dxa" w:w="60"/>
              <w:right w:type="dxa" w:w="90"/>
            </w:tcMar>
            <w:vAlign w:val="top"/>
          </w:tcPr>
          <w:p>
            <w:pPr>
              <w:jc w:val="left"/>
            </w:pPr>
            <w:r>
              <w:rPr>
                <w:b/>
                <w:bCs/>
                <w:color w:val="FFFFFF"/>
                <w:sz w:val="20"/>
                <w:szCs w:val="20"/>
              </w:rPr>
              <w:t xml:space="preserve">Target date</w:t>
            </w:r>
          </w:p>
        </w:tc>
      </w:tr>
      <w:tr>
        <w:tc>
          <w:tcPr>
            <w:tcW w:type="dxa" w:w="1100"/>
            <w:tcMar>
              <w:top w:type="dxa" w:w="60"/>
              <w:left w:type="dxa" w:w="90"/>
              <w:bottom w:type="dxa" w:w="60"/>
              <w:right w:type="dxa" w:w="90"/>
            </w:tcMar>
            <w:vAlign w:val="top"/>
          </w:tcPr>
          <w:p>
            <w:pPr>
              <w:jc w:val="center"/>
            </w:pPr>
            <w:r>
              <w:rPr>
                <w:b/>
                <w:bCs/>
                <w:color w:val="1F3864"/>
              </w:rPr>
              <w:t xml:space="preserve">M1</w:t>
            </w:r>
          </w:p>
        </w:tc>
        <w:tc>
          <w:tcPr>
            <w:tcW w:type="dxa" w:w="6060"/>
            <w:tcMar>
              <w:top w:type="dxa" w:w="60"/>
              <w:left w:type="dxa" w:w="90"/>
              <w:bottom w:type="dxa" w:w="60"/>
              <w:right w:type="dxa" w:w="90"/>
            </w:tcMar>
            <w:vAlign w:val="top"/>
          </w:tcPr>
          <w:p>
            <w:pPr>
              <w:jc w:val="left"/>
            </w:pPr>
            <w:r>
              <w:t xml:space="preserve">Paystack live-mode cut-over verified on staging (PL-01, PL-02).</w:t>
            </w:r>
          </w:p>
        </w:tc>
        <w:tc>
          <w:tcPr>
            <w:tcW w:type="dxa" w:w="2200"/>
            <w:tcMar>
              <w:top w:type="dxa" w:w="60"/>
              <w:left w:type="dxa" w:w="90"/>
              <w:bottom w:type="dxa" w:w="60"/>
              <w:right w:type="dxa" w:w="90"/>
            </w:tcMar>
            <w:vAlign w:val="top"/>
          </w:tcPr>
          <w:p>
            <w:pPr>
              <w:jc w:val="center"/>
            </w:pPr>
            <w:r>
              <w:rPr>
                <w:b w:val="false"/>
                <w:bCs w:val="false"/>
              </w:rPr>
              <w:t xml:space="preserve">Fri 25 Jul 2026</w:t>
            </w:r>
          </w:p>
        </w:tc>
      </w:tr>
      <w:tr>
        <w:tc>
          <w:tcPr>
            <w:tcW w:type="dxa" w:w="1100"/>
            <w:tcMar>
              <w:top w:type="dxa" w:w="60"/>
              <w:left w:type="dxa" w:w="90"/>
              <w:bottom w:type="dxa" w:w="60"/>
              <w:right w:type="dxa" w:w="90"/>
            </w:tcMar>
            <w:vAlign w:val="top"/>
          </w:tcPr>
          <w:p>
            <w:pPr>
              <w:jc w:val="center"/>
            </w:pPr>
            <w:r>
              <w:rPr>
                <w:b/>
                <w:bCs/>
                <w:color w:val="1F3864"/>
              </w:rPr>
              <w:t xml:space="preserve">M2</w:t>
            </w:r>
          </w:p>
        </w:tc>
        <w:tc>
          <w:tcPr>
            <w:tcW w:type="dxa" w:w="6060"/>
            <w:tcMar>
              <w:top w:type="dxa" w:w="60"/>
              <w:left w:type="dxa" w:w="90"/>
              <w:bottom w:type="dxa" w:w="60"/>
              <w:right w:type="dxa" w:w="90"/>
            </w:tcMar>
            <w:vAlign w:val="top"/>
          </w:tcPr>
          <w:p>
            <w:pPr>
              <w:jc w:val="left"/>
            </w:pPr>
            <w:r>
              <w:t xml:space="preserve">Payment reflection + reconciliation verified end-to-end on staging.</w:t>
            </w:r>
          </w:p>
        </w:tc>
        <w:tc>
          <w:tcPr>
            <w:tcW w:type="dxa" w:w="2200"/>
            <w:tcMar>
              <w:top w:type="dxa" w:w="60"/>
              <w:left w:type="dxa" w:w="90"/>
              <w:bottom w:type="dxa" w:w="60"/>
              <w:right w:type="dxa" w:w="90"/>
            </w:tcMar>
            <w:vAlign w:val="top"/>
          </w:tcPr>
          <w:p>
            <w:pPr>
              <w:jc w:val="center"/>
            </w:pPr>
            <w:r>
              <w:rPr>
                <w:b w:val="false"/>
                <w:bCs w:val="false"/>
              </w:rPr>
              <w:t xml:space="preserve">Fri 8 Aug 2026</w:t>
            </w:r>
          </w:p>
        </w:tc>
      </w:tr>
      <w:tr>
        <w:tc>
          <w:tcPr>
            <w:tcW w:type="dxa" w:w="1100"/>
            <w:tcMar>
              <w:top w:type="dxa" w:w="60"/>
              <w:left w:type="dxa" w:w="90"/>
              <w:bottom w:type="dxa" w:w="60"/>
              <w:right w:type="dxa" w:w="90"/>
            </w:tcMar>
            <w:vAlign w:val="top"/>
          </w:tcPr>
          <w:p>
            <w:pPr>
              <w:jc w:val="center"/>
            </w:pPr>
            <w:r>
              <w:rPr>
                <w:b/>
                <w:bCs/>
                <w:color w:val="1F3864"/>
              </w:rPr>
              <w:t xml:space="preserve">M3</w:t>
            </w:r>
          </w:p>
        </w:tc>
        <w:tc>
          <w:tcPr>
            <w:tcW w:type="dxa" w:w="6060"/>
            <w:tcMar>
              <w:top w:type="dxa" w:w="60"/>
              <w:left w:type="dxa" w:w="90"/>
              <w:bottom w:type="dxa" w:w="60"/>
              <w:right w:type="dxa" w:w="90"/>
            </w:tcMar>
            <w:vAlign w:val="top"/>
          </w:tcPr>
          <w:p>
            <w:pPr>
              <w:jc w:val="left"/>
            </w:pPr>
            <w:r>
              <w:t xml:space="preserve">Security launch-blockers resolved (PL-05, PL-06).</w:t>
            </w:r>
          </w:p>
        </w:tc>
        <w:tc>
          <w:tcPr>
            <w:tcW w:type="dxa" w:w="2200"/>
            <w:tcMar>
              <w:top w:type="dxa" w:w="60"/>
              <w:left w:type="dxa" w:w="90"/>
              <w:bottom w:type="dxa" w:w="60"/>
              <w:right w:type="dxa" w:w="90"/>
            </w:tcMar>
            <w:vAlign w:val="top"/>
          </w:tcPr>
          <w:p>
            <w:pPr>
              <w:jc w:val="center"/>
            </w:pPr>
            <w:r>
              <w:rPr>
                <w:b w:val="false"/>
                <w:bCs w:val="false"/>
              </w:rPr>
              <w:t xml:space="preserve">Fri 22 Aug 2026</w:t>
            </w:r>
          </w:p>
        </w:tc>
      </w:tr>
      <w:tr>
        <w:tc>
          <w:tcPr>
            <w:tcW w:type="dxa" w:w="1100"/>
            <w:tcMar>
              <w:top w:type="dxa" w:w="60"/>
              <w:left w:type="dxa" w:w="90"/>
              <w:bottom w:type="dxa" w:w="60"/>
              <w:right w:type="dxa" w:w="90"/>
            </w:tcMar>
            <w:vAlign w:val="top"/>
          </w:tcPr>
          <w:p>
            <w:pPr>
              <w:jc w:val="center"/>
            </w:pPr>
            <w:r>
              <w:rPr>
                <w:b/>
                <w:bCs/>
                <w:color w:val="1F3864"/>
              </w:rPr>
              <w:t xml:space="preserve">M4</w:t>
            </w:r>
          </w:p>
        </w:tc>
        <w:tc>
          <w:tcPr>
            <w:tcW w:type="dxa" w:w="6060"/>
            <w:tcMar>
              <w:top w:type="dxa" w:w="60"/>
              <w:left w:type="dxa" w:w="90"/>
              <w:bottom w:type="dxa" w:w="60"/>
              <w:right w:type="dxa" w:w="90"/>
            </w:tcMar>
            <w:vAlign w:val="top"/>
          </w:tcPr>
          <w:p>
            <w:pPr>
              <w:jc w:val="left"/>
            </w:pPr>
            <w:r>
              <w:t xml:space="preserve">Production deploy: reconcile migration + edge functions (PL-03, PL-04).</w:t>
            </w:r>
          </w:p>
        </w:tc>
        <w:tc>
          <w:tcPr>
            <w:tcW w:type="dxa" w:w="2200"/>
            <w:tcMar>
              <w:top w:type="dxa" w:w="60"/>
              <w:left w:type="dxa" w:w="90"/>
              <w:bottom w:type="dxa" w:w="60"/>
              <w:right w:type="dxa" w:w="90"/>
            </w:tcMar>
            <w:vAlign w:val="top"/>
          </w:tcPr>
          <w:p>
            <w:pPr>
              <w:jc w:val="center"/>
            </w:pPr>
            <w:r>
              <w:rPr>
                <w:b w:val="false"/>
                <w:bCs w:val="false"/>
              </w:rPr>
              <w:t xml:space="preserve">Fri 29 Aug 2026</w:t>
            </w:r>
          </w:p>
        </w:tc>
      </w:tr>
      <w:tr>
        <w:tc>
          <w:tcPr>
            <w:tcW w:type="dxa" w:w="1100"/>
            <w:tcMar>
              <w:top w:type="dxa" w:w="60"/>
              <w:left w:type="dxa" w:w="90"/>
              <w:bottom w:type="dxa" w:w="60"/>
              <w:right w:type="dxa" w:w="90"/>
            </w:tcMar>
            <w:vAlign w:val="top"/>
          </w:tcPr>
          <w:p>
            <w:pPr>
              <w:jc w:val="center"/>
            </w:pPr>
            <w:r>
              <w:rPr>
                <w:b/>
                <w:bCs/>
                <w:color w:val="1F3864"/>
              </w:rPr>
              <w:t xml:space="preserve">M5</w:t>
            </w:r>
          </w:p>
        </w:tc>
        <w:tc>
          <w:tcPr>
            <w:tcW w:type="dxa" w:w="6060"/>
            <w:tcMar>
              <w:top w:type="dxa" w:w="60"/>
              <w:left w:type="dxa" w:w="90"/>
              <w:bottom w:type="dxa" w:w="60"/>
              <w:right w:type="dxa" w:w="90"/>
            </w:tcMar>
            <w:vAlign w:val="top"/>
          </w:tcPr>
          <w:p>
            <w:pPr>
              <w:jc w:val="left"/>
            </w:pPr>
            <w:r>
              <w:t xml:space="preserve">Pilot UAT with one real school on production (PL-09).</w:t>
            </w:r>
          </w:p>
        </w:tc>
        <w:tc>
          <w:tcPr>
            <w:tcW w:type="dxa" w:w="2200"/>
            <w:tcMar>
              <w:top w:type="dxa" w:w="60"/>
              <w:left w:type="dxa" w:w="90"/>
              <w:bottom w:type="dxa" w:w="60"/>
              <w:right w:type="dxa" w:w="90"/>
            </w:tcMar>
            <w:vAlign w:val="top"/>
          </w:tcPr>
          <w:p>
            <w:pPr>
              <w:jc w:val="center"/>
            </w:pPr>
            <w:r>
              <w:rPr>
                <w:b w:val="false"/>
                <w:bCs w:val="false"/>
              </w:rPr>
              <w:t xml:space="preserve">Fri 5 Sep 2026</w:t>
            </w:r>
          </w:p>
        </w:tc>
      </w:tr>
      <w:tr>
        <w:tc>
          <w:tcPr>
            <w:tcW w:type="dxa" w:w="1100"/>
            <w:tcMar>
              <w:top w:type="dxa" w:w="60"/>
              <w:left w:type="dxa" w:w="90"/>
              <w:bottom w:type="dxa" w:w="60"/>
              <w:right w:type="dxa" w:w="90"/>
            </w:tcMar>
            <w:vAlign w:val="top"/>
          </w:tcPr>
          <w:p>
            <w:pPr>
              <w:jc w:val="center"/>
            </w:pPr>
            <w:r>
              <w:rPr>
                <w:b/>
                <w:bCs/>
                <w:color w:val="1F3864"/>
              </w:rPr>
              <w:t xml:space="preserve">M6</w:t>
            </w:r>
          </w:p>
        </w:tc>
        <w:tc>
          <w:tcPr>
            <w:tcW w:type="dxa" w:w="6060"/>
            <w:tcMar>
              <w:top w:type="dxa" w:w="60"/>
              <w:left w:type="dxa" w:w="90"/>
              <w:bottom w:type="dxa" w:w="60"/>
              <w:right w:type="dxa" w:w="90"/>
            </w:tcMar>
            <w:vAlign w:val="top"/>
          </w:tcPr>
          <w:p>
            <w:pPr>
              <w:jc w:val="left"/>
            </w:pPr>
            <w:r>
              <w:t xml:space="preserve">Launch / Go-live.</w:t>
            </w:r>
          </w:p>
        </w:tc>
        <w:tc>
          <w:tcPr>
            <w:tcW w:type="dxa" w:w="2200"/>
            <w:tcMar>
              <w:top w:type="dxa" w:w="60"/>
              <w:left w:type="dxa" w:w="90"/>
              <w:bottom w:type="dxa" w:w="60"/>
              <w:right w:type="dxa" w:w="90"/>
            </w:tcMar>
            <w:vAlign w:val="top"/>
          </w:tcPr>
          <w:p>
            <w:pPr>
              <w:jc w:val="center"/>
            </w:pPr>
            <w:r>
              <w:rPr>
                <w:b/>
                <w:bCs/>
              </w:rPr>
              <w:t xml:space="preserve">Mon 15 Sep 2026</w:t>
            </w:r>
          </w:p>
        </w:tc>
      </w:tr>
    </w:tbl>
    <w:p>
      <w:pPr>
        <w:pStyle w:val="Heading1"/>
        <w:spacing w:after="100" w:before="260"/>
      </w:pPr>
      <w:r>
        <w:rPr>
          <w:b/>
          <w:bCs/>
          <w:color w:val="1F3864"/>
          <w:sz w:val="26"/>
          <w:szCs w:val="26"/>
        </w:rPr>
        <w:t xml:space="preserve">7. Change control</w:t>
      </w:r>
    </w:p>
    <w:p>
      <w:pPr>
        <w:spacing w:after="120" w:line="276"/>
      </w:pPr>
      <w:r>
        <w:t xml:space="preserve">Any deliverable not listed in this Annex that is requested during the pre-launch (unpaid) phase is treated as post-launch, paid work by default, unless both parties agree otherwise in writing (Agreement Clause 9). New launch-blockers discovered during review are added to §5 by written agreement.</w:t>
      </w:r>
    </w:p>
    <w:p>
      <w:pPr>
        <w:pStyle w:val="Heading1"/>
        <w:spacing w:after="100" w:before="260"/>
      </w:pPr>
      <w:r>
        <w:rPr>
          <w:b/>
          <w:bCs/>
          <w:color w:val="1F3864"/>
          <w:sz w:val="26"/>
          <w:szCs w:val="26"/>
        </w:rPr>
        <w:t xml:space="preserve">8. Glossary — plain-English meanings</w:t>
      </w:r>
    </w:p>
    <w:p>
      <w:pPr>
        <w:spacing w:after="120" w:line="276"/>
      </w:pPr>
      <w:r>
        <w:rPr>
          <w:i/>
          <w:iCs/>
          <w:color w:val="595959"/>
        </w:rPr>
        <w:t xml:space="preserve">A quick reference for the technical terms used above. None of these require a technical background to grasp.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60"/>
              <w:left w:type="dxa" w:w="90"/>
              <w:bottom w:type="dxa" w:w="60"/>
              <w:right w:type="dxa" w:w="90"/>
            </w:tcMar>
            <w:vAlign w:val="top"/>
          </w:tcPr>
          <w:p>
            <w:pPr>
              <w:jc w:val="left"/>
            </w:pPr>
            <w:r>
              <w:rPr>
                <w:b/>
                <w:bCs/>
                <w:color w:val="FFFFFF"/>
                <w:sz w:val="20"/>
                <w:szCs w:val="20"/>
              </w:rPr>
              <w:t xml:space="preserve">Term</w:t>
            </w:r>
          </w:p>
        </w:tc>
        <w:tc>
          <w:tcPr>
            <w:tcW w:type="dxa" w:w="6760"/>
            <w:shd w:fill="1F3864" w:color="auto" w:val="clear"/>
            <w:tcMar>
              <w:top w:type="dxa" w:w="60"/>
              <w:left w:type="dxa" w:w="90"/>
              <w:bottom w:type="dxa" w:w="60"/>
              <w:right w:type="dxa" w:w="90"/>
            </w:tcMar>
            <w:vAlign w:val="top"/>
          </w:tcPr>
          <w:p>
            <w:pPr>
              <w:jc w:val="left"/>
            </w:pPr>
            <w:r>
              <w:rPr>
                <w:b/>
                <w:bCs/>
                <w:color w:val="FFFFFF"/>
                <w:sz w:val="20"/>
                <w:szCs w:val="20"/>
              </w:rPr>
              <w:t xml:space="preserve">Plain-English meaning</w:t>
            </w:r>
          </w:p>
        </w:tc>
      </w:tr>
      <w:tr>
        <w:tc>
          <w:tcPr>
            <w:tcW w:type="dxa" w:w="2600"/>
            <w:tcMar>
              <w:top w:type="dxa" w:w="60"/>
              <w:left w:type="dxa" w:w="90"/>
              <w:bottom w:type="dxa" w:w="60"/>
              <w:right w:type="dxa" w:w="90"/>
            </w:tcMar>
            <w:vAlign w:val="top"/>
          </w:tcPr>
          <w:p>
            <w:pPr>
              <w:jc w:val="left"/>
            </w:pPr>
            <w:r>
              <w:rPr>
                <w:b/>
                <w:bCs/>
                <w:sz w:val="18"/>
                <w:szCs w:val="18"/>
              </w:rPr>
              <w:t xml:space="preserve">Paystack</w:t>
            </w:r>
          </w:p>
        </w:tc>
        <w:tc>
          <w:tcPr>
            <w:tcW w:type="dxa" w:w="6760"/>
            <w:tcMar>
              <w:top w:type="dxa" w:w="60"/>
              <w:left w:type="dxa" w:w="90"/>
              <w:bottom w:type="dxa" w:w="60"/>
              <w:right w:type="dxa" w:w="90"/>
            </w:tcMar>
            <w:vAlign w:val="top"/>
          </w:tcPr>
          <w:p>
            <w:pPr>
              <w:jc w:val="left"/>
            </w:pPr>
            <w:r>
              <w:rPr>
                <w:sz w:val="18"/>
                <w:szCs w:val="18"/>
              </w:rPr>
              <w:t xml:space="preserve">The payment company that processes card and bank payments for the app — think of it as a Nigerian equivalent of Stripe or PayPal.</w:t>
            </w:r>
          </w:p>
        </w:tc>
      </w:tr>
      <w:tr>
        <w:tc>
          <w:tcPr>
            <w:tcW w:type="dxa" w:w="2600"/>
            <w:tcMar>
              <w:top w:type="dxa" w:w="60"/>
              <w:left w:type="dxa" w:w="90"/>
              <w:bottom w:type="dxa" w:w="60"/>
              <w:right w:type="dxa" w:w="90"/>
            </w:tcMar>
            <w:vAlign w:val="top"/>
          </w:tcPr>
          <w:p>
            <w:pPr>
              <w:jc w:val="left"/>
            </w:pPr>
            <w:r>
              <w:rPr>
                <w:b/>
                <w:bCs/>
                <w:sz w:val="18"/>
                <w:szCs w:val="18"/>
              </w:rPr>
              <w:t xml:space="preserve">Test mode / Live mode</w:t>
            </w:r>
          </w:p>
        </w:tc>
        <w:tc>
          <w:tcPr>
            <w:tcW w:type="dxa" w:w="6760"/>
            <w:tcMar>
              <w:top w:type="dxa" w:w="60"/>
              <w:left w:type="dxa" w:w="90"/>
              <w:bottom w:type="dxa" w:w="60"/>
              <w:right w:type="dxa" w:w="90"/>
            </w:tcMar>
            <w:vAlign w:val="top"/>
          </w:tcPr>
          <w:p>
            <w:pPr>
              <w:jc w:val="left"/>
            </w:pPr>
            <w:r>
              <w:rPr>
                <w:sz w:val="18"/>
                <w:szCs w:val="18"/>
              </w:rPr>
              <w:t xml:space="preserve">Test mode uses fake money for practice; live mode moves real money. The app has to be switched to live mode before it can collect real fees.</w:t>
            </w:r>
          </w:p>
        </w:tc>
      </w:tr>
      <w:tr>
        <w:tc>
          <w:tcPr>
            <w:tcW w:type="dxa" w:w="2600"/>
            <w:tcMar>
              <w:top w:type="dxa" w:w="60"/>
              <w:left w:type="dxa" w:w="90"/>
              <w:bottom w:type="dxa" w:w="60"/>
              <w:right w:type="dxa" w:w="90"/>
            </w:tcMar>
            <w:vAlign w:val="top"/>
          </w:tcPr>
          <w:p>
            <w:pPr>
              <w:jc w:val="left"/>
            </w:pPr>
            <w:r>
              <w:rPr>
                <w:b/>
                <w:bCs/>
                <w:sz w:val="18"/>
                <w:szCs w:val="18"/>
              </w:rPr>
              <w:t xml:space="preserve">Webhook</w:t>
            </w:r>
          </w:p>
        </w:tc>
        <w:tc>
          <w:tcPr>
            <w:tcW w:type="dxa" w:w="6760"/>
            <w:tcMar>
              <w:top w:type="dxa" w:w="60"/>
              <w:left w:type="dxa" w:w="90"/>
              <w:bottom w:type="dxa" w:w="60"/>
              <w:right w:type="dxa" w:w="90"/>
            </w:tcMar>
            <w:vAlign w:val="top"/>
          </w:tcPr>
          <w:p>
            <w:pPr>
              <w:jc w:val="left"/>
            </w:pPr>
            <w:r>
              <w:rPr>
                <w:sz w:val="18"/>
                <w:szCs w:val="18"/>
              </w:rPr>
              <w:t xml:space="preserve">An automatic message Paystack sends the app the instant a payment succeeds, so the app can confirm the payment independently rather than just trusting the browser.</w:t>
            </w:r>
          </w:p>
        </w:tc>
      </w:tr>
      <w:tr>
        <w:tc>
          <w:tcPr>
            <w:tcW w:type="dxa" w:w="2600"/>
            <w:tcMar>
              <w:top w:type="dxa" w:w="60"/>
              <w:left w:type="dxa" w:w="90"/>
              <w:bottom w:type="dxa" w:w="60"/>
              <w:right w:type="dxa" w:w="90"/>
            </w:tcMar>
            <w:vAlign w:val="top"/>
          </w:tcPr>
          <w:p>
            <w:pPr>
              <w:jc w:val="left"/>
            </w:pPr>
            <w:r>
              <w:rPr>
                <w:b/>
                <w:bCs/>
                <w:sz w:val="18"/>
                <w:szCs w:val="18"/>
              </w:rPr>
              <w:t xml:space="preserve">HMAC-SHA512 signature</w:t>
            </w:r>
          </w:p>
        </w:tc>
        <w:tc>
          <w:tcPr>
            <w:tcW w:type="dxa" w:w="6760"/>
            <w:tcMar>
              <w:top w:type="dxa" w:w="60"/>
              <w:left w:type="dxa" w:w="90"/>
              <w:bottom w:type="dxa" w:w="60"/>
              <w:right w:type="dxa" w:w="90"/>
            </w:tcMar>
            <w:vAlign w:val="top"/>
          </w:tcPr>
          <w:p>
            <w:pPr>
              <w:jc w:val="left"/>
            </w:pPr>
            <w:r>
              <w:rPr>
                <w:sz w:val="18"/>
                <w:szCs w:val="18"/>
              </w:rPr>
              <w:t xml:space="preserve">A tamper-proof digital signature on that message which proves it genuinely came from Paystack and wasn't faked by someone trying to mark a fee as paid.</w:t>
            </w:r>
          </w:p>
        </w:tc>
      </w:tr>
      <w:tr>
        <w:tc>
          <w:tcPr>
            <w:tcW w:type="dxa" w:w="2600"/>
            <w:tcMar>
              <w:top w:type="dxa" w:w="60"/>
              <w:left w:type="dxa" w:w="90"/>
              <w:bottom w:type="dxa" w:w="60"/>
              <w:right w:type="dxa" w:w="90"/>
            </w:tcMar>
            <w:vAlign w:val="top"/>
          </w:tcPr>
          <w:p>
            <w:pPr>
              <w:jc w:val="left"/>
            </w:pPr>
            <w:r>
              <w:rPr>
                <w:b/>
                <w:bCs/>
                <w:sz w:val="18"/>
                <w:szCs w:val="18"/>
              </w:rPr>
              <w:t xml:space="preserve">Edge function</w:t>
            </w:r>
          </w:p>
        </w:tc>
        <w:tc>
          <w:tcPr>
            <w:tcW w:type="dxa" w:w="6760"/>
            <w:tcMar>
              <w:top w:type="dxa" w:w="60"/>
              <w:left w:type="dxa" w:w="90"/>
              <w:bottom w:type="dxa" w:w="60"/>
              <w:right w:type="dxa" w:w="90"/>
            </w:tcMar>
            <w:vAlign w:val="top"/>
          </w:tcPr>
          <w:p>
            <w:pPr>
              <w:jc w:val="left"/>
            </w:pPr>
            <w:r>
              <w:rPr>
                <w:sz w:val="18"/>
                <w:szCs w:val="18"/>
              </w:rPr>
              <w:t xml:space="preserve">A small, secure program that runs on the server (not in the user's browser) to handle sensitive actions like creating accounts, changing PINs, or taking payments.</w:t>
            </w:r>
          </w:p>
        </w:tc>
      </w:tr>
      <w:tr>
        <w:tc>
          <w:tcPr>
            <w:tcW w:type="dxa" w:w="2600"/>
            <w:tcMar>
              <w:top w:type="dxa" w:w="60"/>
              <w:left w:type="dxa" w:w="90"/>
              <w:bottom w:type="dxa" w:w="60"/>
              <w:right w:type="dxa" w:w="90"/>
            </w:tcMar>
            <w:vAlign w:val="top"/>
          </w:tcPr>
          <w:p>
            <w:pPr>
              <w:jc w:val="left"/>
            </w:pPr>
            <w:r>
              <w:rPr>
                <w:b/>
                <w:bCs/>
                <w:sz w:val="18"/>
                <w:szCs w:val="18"/>
              </w:rPr>
              <w:t xml:space="preserve">Database / payments table</w:t>
            </w:r>
          </w:p>
        </w:tc>
        <w:tc>
          <w:tcPr>
            <w:tcW w:type="dxa" w:w="6760"/>
            <w:tcMar>
              <w:top w:type="dxa" w:w="60"/>
              <w:left w:type="dxa" w:w="90"/>
              <w:bottom w:type="dxa" w:w="60"/>
              <w:right w:type="dxa" w:w="90"/>
            </w:tcMar>
            <w:vAlign w:val="top"/>
          </w:tcPr>
          <w:p>
            <w:pPr>
              <w:jc w:val="left"/>
            </w:pPr>
            <w:r>
              <w:rPr>
                <w:sz w:val="18"/>
                <w:szCs w:val="18"/>
              </w:rPr>
              <w:t xml:space="preserve">The app's structured store of records. The “payments” table is the specific list where every payment is recorded.</w:t>
            </w:r>
          </w:p>
        </w:tc>
      </w:tr>
      <w:tr>
        <w:tc>
          <w:tcPr>
            <w:tcW w:type="dxa" w:w="2600"/>
            <w:tcMar>
              <w:top w:type="dxa" w:w="60"/>
              <w:left w:type="dxa" w:w="90"/>
              <w:bottom w:type="dxa" w:w="60"/>
              <w:right w:type="dxa" w:w="90"/>
            </w:tcMar>
            <w:vAlign w:val="top"/>
          </w:tcPr>
          <w:p>
            <w:pPr>
              <w:jc w:val="left"/>
            </w:pPr>
            <w:r>
              <w:rPr>
                <w:b/>
                <w:bCs/>
                <w:sz w:val="18"/>
                <w:szCs w:val="18"/>
              </w:rPr>
              <w:t xml:space="preserve">Migration</w:t>
            </w:r>
          </w:p>
        </w:tc>
        <w:tc>
          <w:tcPr>
            <w:tcW w:type="dxa" w:w="6760"/>
            <w:tcMar>
              <w:top w:type="dxa" w:w="60"/>
              <w:left w:type="dxa" w:w="90"/>
              <w:bottom w:type="dxa" w:w="60"/>
              <w:right w:type="dxa" w:w="90"/>
            </w:tcMar>
            <w:vAlign w:val="top"/>
          </w:tcPr>
          <w:p>
            <w:pPr>
              <w:jc w:val="left"/>
            </w:pPr>
            <w:r>
              <w:rPr>
                <w:sz w:val="18"/>
                <w:szCs w:val="18"/>
              </w:rPr>
              <w:t xml:space="preserve">A controlled, prepared change to the database's structure, run deliberately as one step rather than edited by hand.</w:t>
            </w:r>
          </w:p>
        </w:tc>
      </w:tr>
      <w:tr>
        <w:tc>
          <w:tcPr>
            <w:tcW w:type="dxa" w:w="2600"/>
            <w:tcMar>
              <w:top w:type="dxa" w:w="60"/>
              <w:left w:type="dxa" w:w="90"/>
              <w:bottom w:type="dxa" w:w="60"/>
              <w:right w:type="dxa" w:w="90"/>
            </w:tcMar>
            <w:vAlign w:val="top"/>
          </w:tcPr>
          <w:p>
            <w:pPr>
              <w:jc w:val="left"/>
            </w:pPr>
            <w:r>
              <w:rPr>
                <w:b/>
                <w:bCs/>
                <w:sz w:val="18"/>
                <w:szCs w:val="18"/>
              </w:rPr>
              <w:t xml:space="preserve">Production vs. Staging</w:t>
            </w:r>
          </w:p>
        </w:tc>
        <w:tc>
          <w:tcPr>
            <w:tcW w:type="dxa" w:w="6760"/>
            <w:tcMar>
              <w:top w:type="dxa" w:w="60"/>
              <w:left w:type="dxa" w:w="90"/>
              <w:bottom w:type="dxa" w:w="60"/>
              <w:right w:type="dxa" w:w="90"/>
            </w:tcMar>
            <w:vAlign w:val="top"/>
          </w:tcPr>
          <w:p>
            <w:pPr>
              <w:jc w:val="left"/>
            </w:pPr>
            <w:r>
              <w:rPr>
                <w:sz w:val="18"/>
                <w:szCs w:val="18"/>
              </w:rPr>
              <w:t xml:space="preserve">Production is the real live site your schools use. Staging is a private copy used only for testing, so changes can be tried safely before going live.</w:t>
            </w:r>
          </w:p>
        </w:tc>
      </w:tr>
      <w:tr>
        <w:tc>
          <w:tcPr>
            <w:tcW w:type="dxa" w:w="2600"/>
            <w:tcMar>
              <w:top w:type="dxa" w:w="60"/>
              <w:left w:type="dxa" w:w="90"/>
              <w:bottom w:type="dxa" w:w="60"/>
              <w:right w:type="dxa" w:w="90"/>
            </w:tcMar>
            <w:vAlign w:val="top"/>
          </w:tcPr>
          <w:p>
            <w:pPr>
              <w:jc w:val="left"/>
            </w:pPr>
            <w:r>
              <w:rPr>
                <w:b/>
                <w:bCs/>
                <w:sz w:val="18"/>
                <w:szCs w:val="18"/>
              </w:rPr>
              <w:t xml:space="preserve">RLS (Row-Level Security)</w:t>
            </w:r>
          </w:p>
        </w:tc>
        <w:tc>
          <w:tcPr>
            <w:tcW w:type="dxa" w:w="6760"/>
            <w:tcMar>
              <w:top w:type="dxa" w:w="60"/>
              <w:left w:type="dxa" w:w="90"/>
              <w:bottom w:type="dxa" w:w="60"/>
              <w:right w:type="dxa" w:w="90"/>
            </w:tcMar>
            <w:vAlign w:val="top"/>
          </w:tcPr>
          <w:p>
            <w:pPr>
              <w:jc w:val="left"/>
            </w:pPr>
            <w:r>
              <w:rPr>
                <w:sz w:val="18"/>
                <w:szCs w:val="18"/>
              </w:rPr>
              <w:t xml:space="preserve">The database's built-in permission rules that decide which user is allowed to see or change which specific rows of data.</w:t>
            </w:r>
          </w:p>
        </w:tc>
      </w:tr>
      <w:tr>
        <w:tc>
          <w:tcPr>
            <w:tcW w:type="dxa" w:w="2600"/>
            <w:tcMar>
              <w:top w:type="dxa" w:w="60"/>
              <w:left w:type="dxa" w:w="90"/>
              <w:bottom w:type="dxa" w:w="60"/>
              <w:right w:type="dxa" w:w="90"/>
            </w:tcMar>
            <w:vAlign w:val="top"/>
          </w:tcPr>
          <w:p>
            <w:pPr>
              <w:jc w:val="left"/>
            </w:pPr>
            <w:r>
              <w:rPr>
                <w:b/>
                <w:bCs/>
                <w:sz w:val="18"/>
                <w:szCs w:val="18"/>
              </w:rPr>
              <w:t xml:space="preserve">Anonymous (anon) key</w:t>
            </w:r>
          </w:p>
        </w:tc>
        <w:tc>
          <w:tcPr>
            <w:tcW w:type="dxa" w:w="6760"/>
            <w:tcMar>
              <w:top w:type="dxa" w:w="60"/>
              <w:left w:type="dxa" w:w="90"/>
              <w:bottom w:type="dxa" w:w="60"/>
              <w:right w:type="dxa" w:w="90"/>
            </w:tcMar>
            <w:vAlign w:val="top"/>
          </w:tcPr>
          <w:p>
            <w:pPr>
              <w:jc w:val="left"/>
            </w:pPr>
            <w:r>
              <w:rPr>
                <w:sz w:val="18"/>
                <w:szCs w:val="18"/>
              </w:rPr>
              <w:t xml:space="preserve">The public access key the app uses inside the browser. Anything readable with this key is effectively public — so sensitive data like PINs must be blocked from it.</w:t>
            </w:r>
          </w:p>
        </w:tc>
      </w:tr>
      <w:tr>
        <w:tc>
          <w:tcPr>
            <w:tcW w:type="dxa" w:w="2600"/>
            <w:tcMar>
              <w:top w:type="dxa" w:w="60"/>
              <w:left w:type="dxa" w:w="90"/>
              <w:bottom w:type="dxa" w:w="60"/>
              <w:right w:type="dxa" w:w="90"/>
            </w:tcMar>
            <w:vAlign w:val="top"/>
          </w:tcPr>
          <w:p>
            <w:pPr>
              <w:jc w:val="left"/>
            </w:pPr>
            <w:r>
              <w:rPr>
                <w:b/>
                <w:bCs/>
                <w:sz w:val="18"/>
                <w:szCs w:val="18"/>
              </w:rPr>
              <w:t xml:space="preserve">Subaccount</w:t>
            </w:r>
          </w:p>
        </w:tc>
        <w:tc>
          <w:tcPr>
            <w:tcW w:type="dxa" w:w="6760"/>
            <w:tcMar>
              <w:top w:type="dxa" w:w="60"/>
              <w:left w:type="dxa" w:w="90"/>
              <w:bottom w:type="dxa" w:w="60"/>
              <w:right w:type="dxa" w:w="90"/>
            </w:tcMar>
            <w:vAlign w:val="top"/>
          </w:tcPr>
          <w:p>
            <w:pPr>
              <w:jc w:val="left"/>
            </w:pPr>
            <w:r>
              <w:rPr>
                <w:sz w:val="18"/>
                <w:szCs w:val="18"/>
              </w:rPr>
              <w:t xml:space="preserve">Each school's own account inside Paystack, so payments settle to the correct school's bank and the platform's 1% cut is split off automatically.</w:t>
            </w:r>
          </w:p>
        </w:tc>
      </w:tr>
      <w:tr>
        <w:tc>
          <w:tcPr>
            <w:tcW w:type="dxa" w:w="2600"/>
            <w:tcMar>
              <w:top w:type="dxa" w:w="60"/>
              <w:left w:type="dxa" w:w="90"/>
              <w:bottom w:type="dxa" w:w="60"/>
              <w:right w:type="dxa" w:w="90"/>
            </w:tcMar>
            <w:vAlign w:val="top"/>
          </w:tcPr>
          <w:p>
            <w:pPr>
              <w:jc w:val="left"/>
            </w:pPr>
            <w:r>
              <w:rPr>
                <w:b/>
                <w:bCs/>
                <w:sz w:val="18"/>
                <w:szCs w:val="18"/>
              </w:rPr>
              <w:t xml:space="preserve">Platform charge</w:t>
            </w:r>
          </w:p>
        </w:tc>
        <w:tc>
          <w:tcPr>
            <w:tcW w:type="dxa" w:w="6760"/>
            <w:tcMar>
              <w:top w:type="dxa" w:w="60"/>
              <w:left w:type="dxa" w:w="90"/>
              <w:bottom w:type="dxa" w:w="60"/>
              <w:right w:type="dxa" w:w="90"/>
            </w:tcMar>
            <w:vAlign w:val="top"/>
          </w:tcPr>
          <w:p>
            <w:pPr>
              <w:jc w:val="left"/>
            </w:pPr>
            <w:r>
              <w:rPr>
                <w:sz w:val="18"/>
                <w:szCs w:val="18"/>
              </w:rPr>
              <w:t xml:space="preserve">EduLedgerNG's own fee — 1% of the school's fee — added on top of the bill, not deducted from the school. This is how the platform earns revenue.</w:t>
            </w:r>
          </w:p>
        </w:tc>
      </w:tr>
      <w:tr>
        <w:tc>
          <w:tcPr>
            <w:tcW w:type="dxa" w:w="2600"/>
            <w:tcMar>
              <w:top w:type="dxa" w:w="60"/>
              <w:left w:type="dxa" w:w="90"/>
              <w:bottom w:type="dxa" w:w="60"/>
              <w:right w:type="dxa" w:w="90"/>
            </w:tcMar>
            <w:vAlign w:val="top"/>
          </w:tcPr>
          <w:p>
            <w:pPr>
              <w:jc w:val="left"/>
            </w:pPr>
            <w:r>
              <w:rPr>
                <w:b/>
                <w:bCs/>
                <w:sz w:val="18"/>
                <w:szCs w:val="18"/>
              </w:rPr>
              <w:t xml:space="preserve">Gross-up</w:t>
            </w:r>
          </w:p>
        </w:tc>
        <w:tc>
          <w:tcPr>
            <w:tcW w:type="dxa" w:w="6760"/>
            <w:tcMar>
              <w:top w:type="dxa" w:w="60"/>
              <w:left w:type="dxa" w:w="90"/>
              <w:bottom w:type="dxa" w:w="60"/>
              <w:right w:type="dxa" w:w="90"/>
            </w:tcMar>
            <w:vAlign w:val="top"/>
          </w:tcPr>
          <w:p>
            <w:pPr>
              <w:jc w:val="left"/>
            </w:pPr>
            <w:r>
              <w:rPr>
                <w:sz w:val="18"/>
                <w:szCs w:val="18"/>
              </w:rPr>
              <w:t xml:space="preserve">Increasing the amount charged so that, after the service charges are taken out, the school still receives its full, exact fee. Here it covers both the platform charge and the Paystack gateway charge, so both ride on top of the fee.</w:t>
            </w:r>
          </w:p>
        </w:tc>
      </w:tr>
      <w:tr>
        <w:tc>
          <w:tcPr>
            <w:tcW w:type="dxa" w:w="2600"/>
            <w:tcMar>
              <w:top w:type="dxa" w:w="60"/>
              <w:left w:type="dxa" w:w="90"/>
              <w:bottom w:type="dxa" w:w="60"/>
              <w:right w:type="dxa" w:w="90"/>
            </w:tcMar>
            <w:vAlign w:val="top"/>
          </w:tcPr>
          <w:p>
            <w:pPr>
              <w:jc w:val="left"/>
            </w:pPr>
            <w:r>
              <w:rPr>
                <w:b/>
                <w:bCs/>
                <w:sz w:val="18"/>
                <w:szCs w:val="18"/>
              </w:rPr>
              <w:t xml:space="preserve">Slug</w:t>
            </w:r>
          </w:p>
        </w:tc>
        <w:tc>
          <w:tcPr>
            <w:tcW w:type="dxa" w:w="6760"/>
            <w:tcMar>
              <w:top w:type="dxa" w:w="60"/>
              <w:left w:type="dxa" w:w="90"/>
              <w:bottom w:type="dxa" w:w="60"/>
              <w:right w:type="dxa" w:w="90"/>
            </w:tcMar>
            <w:vAlign w:val="top"/>
          </w:tcPr>
          <w:p>
            <w:pPr>
              <w:jc w:val="left"/>
            </w:pPr>
            <w:r>
              <w:rPr>
                <w:sz w:val="18"/>
                <w:szCs w:val="18"/>
              </w:rPr>
              <w:t xml:space="preserve">The readable school name inside a web address — e.g. the “demo” in /school/demo. Without one, a school's page can't be opened.</w:t>
            </w:r>
          </w:p>
        </w:tc>
      </w:tr>
      <w:tr>
        <w:tc>
          <w:tcPr>
            <w:tcW w:type="dxa" w:w="2600"/>
            <w:tcMar>
              <w:top w:type="dxa" w:w="60"/>
              <w:left w:type="dxa" w:w="90"/>
              <w:bottom w:type="dxa" w:w="60"/>
              <w:right w:type="dxa" w:w="90"/>
            </w:tcMar>
            <w:vAlign w:val="top"/>
          </w:tcPr>
          <w:p>
            <w:pPr>
              <w:jc w:val="left"/>
            </w:pPr>
            <w:r>
              <w:rPr>
                <w:b/>
                <w:bCs/>
                <w:sz w:val="18"/>
                <w:szCs w:val="18"/>
              </w:rPr>
              <w:t xml:space="preserve">UAT (User Acceptance Testing)</w:t>
            </w:r>
          </w:p>
        </w:tc>
        <w:tc>
          <w:tcPr>
            <w:tcW w:type="dxa" w:w="6760"/>
            <w:tcMar>
              <w:top w:type="dxa" w:w="60"/>
              <w:left w:type="dxa" w:w="90"/>
              <w:bottom w:type="dxa" w:w="60"/>
              <w:right w:type="dxa" w:w="90"/>
            </w:tcMar>
            <w:vAlign w:val="top"/>
          </w:tcPr>
          <w:p>
            <w:pPr>
              <w:jc w:val="left"/>
            </w:pPr>
            <w:r>
              <w:rPr>
                <w:sz w:val="18"/>
                <w:szCs w:val="18"/>
              </w:rPr>
              <w:t xml:space="preserve">A final real-world test with an actual user — here, a pilot school — to confirm everything works before going live.</w:t>
            </w:r>
          </w:p>
        </w:tc>
      </w:tr>
      <w:tr>
        <w:tc>
          <w:tcPr>
            <w:tcW w:type="dxa" w:w="2600"/>
            <w:tcMar>
              <w:top w:type="dxa" w:w="60"/>
              <w:left w:type="dxa" w:w="90"/>
              <w:bottom w:type="dxa" w:w="60"/>
              <w:right w:type="dxa" w:w="90"/>
            </w:tcMar>
            <w:vAlign w:val="top"/>
          </w:tcPr>
          <w:p>
            <w:pPr>
              <w:jc w:val="left"/>
            </w:pPr>
            <w:r>
              <w:rPr>
                <w:b/>
                <w:bCs/>
                <w:sz w:val="18"/>
                <w:szCs w:val="18"/>
              </w:rPr>
              <w:t xml:space="preserve">Session / Term</w:t>
            </w:r>
          </w:p>
        </w:tc>
        <w:tc>
          <w:tcPr>
            <w:tcW w:type="dxa" w:w="6760"/>
            <w:tcMar>
              <w:top w:type="dxa" w:w="60"/>
              <w:left w:type="dxa" w:w="90"/>
              <w:bottom w:type="dxa" w:w="60"/>
              <w:right w:type="dxa" w:w="90"/>
            </w:tcMar>
            <w:vAlign w:val="top"/>
          </w:tcPr>
          <w:p>
            <w:pPr>
              <w:jc w:val="left"/>
            </w:pPr>
            <w:r>
              <w:rPr>
                <w:sz w:val="18"/>
                <w:szCs w:val="18"/>
              </w:rPr>
              <w:t xml:space="preserve">The academic year (session) and the term within it that a particular fee or payment belongs to.</w:t>
            </w:r>
          </w:p>
        </w:tc>
      </w:tr>
    </w:tbl>
    <w:p>
      <w:pPr>
        <w:pStyle w:val="Heading1"/>
        <w:spacing w:after="100" w:before="260"/>
      </w:pPr>
      <w:r>
        <w:rPr>
          <w:b/>
          <w:bCs/>
          <w:color w:val="1F3864"/>
          <w:sz w:val="26"/>
          <w:szCs w:val="26"/>
        </w:rPr>
        <w:t xml:space="preserve">9. Acceptance</w:t>
      </w:r>
    </w:p>
    <w:p>
      <w:pPr>
        <w:spacing w:after="120" w:line="276"/>
      </w:pPr>
      <w:r>
        <w:t xml:space="preserve">By signing below, both parties adopt this Annex as the definition of Launch and the scope split referenced in the Agreement.</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60"/>
              <w:left w:type="dxa" w:w="90"/>
              <w:bottom w:type="dxa" w:w="60"/>
              <w:right w:type="dxa" w:w="90"/>
            </w:tcMar>
            <w:vAlign w:val="top"/>
          </w:tcPr>
          <w:p>
            <w:pPr>
              <w:jc w:val="left"/>
            </w:pPr>
            <w:r>
              <w:rPr>
                <w:b/>
                <w:bCs/>
                <w:color w:val="1F3864"/>
                <w:sz w:val="18"/>
                <w:szCs w:val="18"/>
              </w:rPr>
              <w:t xml:space="preserve">PARTY A — FOUNDER</w:t>
            </w:r>
          </w:p>
        </w:tc>
        <w:tc>
          <w:tcPr>
            <w:tcW w:type="dxa" w:w="4680"/>
            <w:tcMar>
              <w:top w:type="dxa" w:w="60"/>
              <w:left w:type="dxa" w:w="90"/>
              <w:bottom w:type="dxa" w:w="60"/>
              <w:right w:type="dxa" w:w="90"/>
            </w:tcMar>
            <w:vAlign w:val="top"/>
          </w:tcPr>
          <w:p>
            <w:pPr>
              <w:jc w:val="left"/>
            </w:pPr>
            <w:r>
              <w:rPr>
                <w:b/>
                <w:bCs/>
                <w:color w:val="1F3864"/>
                <w:sz w:val="18"/>
                <w:szCs w:val="18"/>
              </w:rPr>
              <w:t xml:space="preserve">PARTY B — DEVELOPER</w:t>
            </w:r>
          </w:p>
        </w:tc>
      </w:tr>
      <w:tr>
        <w:tc>
          <w:tcPr>
            <w:tcW w:type="dxa" w:w="4680"/>
            <w:tcMar>
              <w:top w:type="dxa" w:w="60"/>
              <w:left w:type="dxa" w:w="90"/>
              <w:bottom w:type="dxa" w:w="60"/>
              <w:right w:type="dxa" w:w="90"/>
            </w:tcMar>
            <w:vAlign w:val="top"/>
          </w:tcPr>
          <w:p>
            <w:pPr>
              <w:jc w:val="left"/>
            </w:pPr>
            <w:r>
              <w:t xml:space="preserve"/>
            </w:r>
          </w:p>
        </w:tc>
        <w:tc>
          <w:tcPr>
            <w:tcW w:type="dxa" w:w="4680"/>
            <w:tcMar>
              <w:top w:type="dxa" w:w="60"/>
              <w:left w:type="dxa" w:w="90"/>
              <w:bottom w:type="dxa" w:w="60"/>
              <w:right w:type="dxa" w:w="90"/>
            </w:tcMar>
            <w:vAlign w:val="top"/>
          </w:tcPr>
          <w:p>
            <w:pPr>
              <w:jc w:val="left"/>
            </w:pPr>
            <w:r>
              <w:t xml:space="preserve"/>
            </w:r>
          </w:p>
        </w:tc>
      </w:tr>
      <w:tr>
        <w:tc>
          <w:tcPr>
            <w:tcW w:type="dxa" w:w="4680"/>
            <w:tcMar>
              <w:top w:type="dxa" w:w="60"/>
              <w:left w:type="dxa" w:w="90"/>
              <w:bottom w:type="dxa" w:w="60"/>
              <w:right w:type="dxa" w:w="90"/>
            </w:tcMar>
            <w:vAlign w:val="top"/>
          </w:tcPr>
          <w:p>
            <w:pPr>
              <w:jc w:val="left"/>
            </w:pPr>
            <w:r>
              <w:t xml:space="preserve">Signature: ______________________</w:t>
            </w:r>
          </w:p>
        </w:tc>
        <w:tc>
          <w:tcPr>
            <w:tcW w:type="dxa" w:w="4680"/>
            <w:tcMar>
              <w:top w:type="dxa" w:w="60"/>
              <w:left w:type="dxa" w:w="90"/>
              <w:bottom w:type="dxa" w:w="60"/>
              <w:right w:type="dxa" w:w="90"/>
            </w:tcMar>
            <w:vAlign w:val="top"/>
          </w:tcPr>
          <w:p>
            <w:pPr>
              <w:jc w:val="left"/>
            </w:pPr>
            <w:r>
              <w:t xml:space="preserve">Signature: ______________________</w:t>
            </w:r>
          </w:p>
        </w:tc>
      </w:tr>
      <w:tr>
        <w:tc>
          <w:tcPr>
            <w:tcW w:type="dxa" w:w="4680"/>
            <w:tcMar>
              <w:top w:type="dxa" w:w="60"/>
              <w:left w:type="dxa" w:w="90"/>
              <w:bottom w:type="dxa" w:w="60"/>
              <w:right w:type="dxa" w:w="90"/>
            </w:tcMar>
            <w:vAlign w:val="top"/>
          </w:tcPr>
          <w:p>
            <w:pPr>
              <w:jc w:val="left"/>
            </w:pPr>
            <w:r>
              <w:t xml:space="preserve">Awoleke John — Founder &amp; CEO</w:t>
            </w:r>
          </w:p>
        </w:tc>
        <w:tc>
          <w:tcPr>
            <w:tcW w:type="dxa" w:w="4680"/>
            <w:tcMar>
              <w:top w:type="dxa" w:w="60"/>
              <w:left w:type="dxa" w:w="90"/>
              <w:bottom w:type="dxa" w:w="60"/>
              <w:right w:type="dxa" w:w="90"/>
            </w:tcMar>
            <w:vAlign w:val="top"/>
          </w:tcPr>
          <w:p>
            <w:pPr>
              <w:jc w:val="left"/>
            </w:pPr>
            <w:r>
              <w:t xml:space="preserve">Satyam — Technical Developer</w:t>
            </w:r>
          </w:p>
        </w:tc>
      </w:tr>
      <w:tr>
        <w:tc>
          <w:tcPr>
            <w:tcW w:type="dxa" w:w="4680"/>
            <w:tcMar>
              <w:top w:type="dxa" w:w="60"/>
              <w:left w:type="dxa" w:w="90"/>
              <w:bottom w:type="dxa" w:w="60"/>
              <w:right w:type="dxa" w:w="90"/>
            </w:tcMar>
            <w:vAlign w:val="top"/>
          </w:tcPr>
          <w:p>
            <w:pPr>
              <w:jc w:val="left"/>
            </w:pPr>
            <w:r>
              <w:t xml:space="preserve">Date: ______________________</w:t>
            </w:r>
          </w:p>
        </w:tc>
        <w:tc>
          <w:tcPr>
            <w:tcW w:type="dxa" w:w="4680"/>
            <w:tcMar>
              <w:top w:type="dxa" w:w="60"/>
              <w:left w:type="dxa" w:w="90"/>
              <w:bottom w:type="dxa" w:w="60"/>
              <w:right w:type="dxa" w:w="90"/>
            </w:tcMar>
            <w:vAlign w:val="top"/>
          </w:tcPr>
          <w:p>
            <w:pPr>
              <w:jc w:val="left"/>
            </w:pPr>
            <w:r>
              <w:t xml:space="preserve">Date: ______________________</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595959"/>
        <w:sz w:val="16"/>
        <w:szCs w:val="16"/>
      </w:rPr>
      <w:t xml:space="preserve">EduLedgerNG — Annex A: Scope &amp; Launch  ·  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2026-07-08T17:21:30.555Z</dcterms:created>
  <dcterms:modified xsi:type="dcterms:W3CDTF">2026-07-08T17:21:30.555Z</dcterms:modified>
</cp:coreProperties>
</file>

<file path=docProps/custom.xml><?xml version="1.0" encoding="utf-8"?>
<Properties xmlns="http://schemas.openxmlformats.org/officeDocument/2006/custom-properties" xmlns:vt="http://schemas.openxmlformats.org/officeDocument/2006/docPropsVTypes"/>
</file>