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b/>
          <w:bCs/>
          <w:color w:val="1F3864"/>
          <w:sz w:val="30"/>
          <w:szCs w:val="30"/>
        </w:rPr>
        <w:t xml:space="preserve">EduLedgerNG</w:t>
      </w:r>
    </w:p>
    <w:p>
      <w:pPr>
        <w:spacing w:after="40"/>
      </w:pPr>
      <w:r>
        <w:rPr>
          <w:b/>
          <w:bCs/>
          <w:sz w:val="24"/>
          <w:szCs w:val="24"/>
        </w:rPr>
        <w:t xml:space="preserve">Proposed Clarifications to the Developer Agreement</w:t>
      </w:r>
    </w:p>
    <w:p>
      <w:pPr>
        <w:spacing w:after="40"/>
      </w:pPr>
      <w:r>
        <w:rPr>
          <w:color w:val="595959"/>
          <w:sz w:val="19"/>
          <w:szCs w:val="19"/>
        </w:rPr>
        <w:t xml:space="preserve">From: Satyam (Party B, Developer)   ·   To: Awoleke John (Party A, Founder)   ·   8 July 2026</w:t>
      </w:r>
    </w:p>
    <w:p>
      <w:pPr>
        <w:pBdr>
          <w:bottom w:val="single" w:color="BFBFBF" w:sz="6" w:space="1"/>
        </w:pBdr>
        <w:spacing w:after="120" w:before="60"/>
      </w:pPr>
      <w:r>
        <w:t xml:space="preserve"/>
      </w:r>
    </w:p>
    <w:p>
      <w:pPr>
        <w:spacing w:after="120" w:line="276"/>
      </w:pPr>
      <w:r>
        <w:t xml:space="preserve">John — thanks for putting this together. I've read it in full and I'm in; I'm excited to get EduLedgerNG launched. The structure works for me. To make sure we hit the September 2026 launch cleanly and that we're both clear on the finish line, I'd like to firm up a few points — mostly around </w:t>
      </w:r>
      <w:r>
        <w:rPr>
          <w:b/>
          <w:bCs/>
        </w:rPr>
        <w:t xml:space="preserve">defining exactly what “launch” means</w:t>
      </w:r>
      <w:r>
        <w:t xml:space="preserve"> and the </w:t>
      </w:r>
      <w:r>
        <w:rPr>
          <w:b/>
          <w:bCs/>
        </w:rPr>
        <w:t xml:space="preserve">post-revenue compensation</w:t>
      </w:r>
      <w:r>
        <w:t xml:space="preserve">. I've drafted a short </w:t>
      </w:r>
      <w:r>
        <w:rPr>
          <w:b/>
          <w:bCs/>
        </w:rPr>
        <w:t xml:space="preserve">Scope &amp; Launch annex (Annex A)</w:t>
      </w:r>
      <w:r>
        <w:t xml:space="preserve"> we can both sign alongside the agreement. None of this changes the spirit of what we agreed — it just removes the gaps that tend to cause friction later.</w:t>
      </w:r>
    </w:p>
    <w:p>
      <w:pPr>
        <w:pStyle w:val="Heading1"/>
        <w:spacing w:after="100" w:before="260"/>
      </w:pPr>
      <w:r>
        <w:rPr>
          <w:b/>
          <w:bCs/>
          <w:color w:val="1F3864"/>
          <w:sz w:val="26"/>
          <w:szCs w:val="26"/>
        </w:rPr>
        <w:t xml:space="preserve">A. Business &amp; revenue model — confirming your note</w:t>
      </w:r>
    </w:p>
    <w:p>
      <w:pPr>
        <w:spacing w:after="160" w:line="276"/>
      </w:pPr>
      <w:r>
        <w:rPr>
          <w:b/>
          <w:bCs/>
        </w:rPr>
        <w:t xml:space="preserve">Clause 1 — State the revenue model. </w:t>
      </w:r>
      <w:r>
        <w:rPr>
          <w:i/>
          <w:iCs/>
          <w:color w:val="595959"/>
        </w:rPr>
        <w:t xml:space="preserve">Now: </w:t>
      </w:r>
      <w:r>
        <w:rPr>
          <w:color w:val="595959"/>
        </w:rPr>
        <w:t xml:space="preserve">Clause 1 says what the platform does, but not how it earns or how each fee is settled. </w:t>
      </w:r>
      <w:r>
        <w:rPr>
          <w:b/>
          <w:bCs/>
          <w:color w:val="1F3864"/>
        </w:rPr>
        <w:t xml:space="preserve">Proposed: </w:t>
      </w:r>
      <w:r>
        <w:t xml:space="preserve">add a short line capturing what you described: EduLedgerNG works like a digital fee ledger — the school receives the exact fee it sets, and the platform earns a 1% platform charge added on top of each payment, alongside the Paystack gateway charge. Both charges are borne by the parent; nothing is deducted from the school's fee. (This already matches how the live payment code is built — worked example in Annex A, §2.)</w:t>
      </w:r>
    </w:p>
    <w:p>
      <w:pPr>
        <w:pStyle w:val="Heading1"/>
        <w:spacing w:after="100" w:before="260"/>
      </w:pPr>
      <w:r>
        <w:rPr>
          <w:b/>
          <w:bCs/>
          <w:color w:val="1F3864"/>
          <w:sz w:val="26"/>
          <w:szCs w:val="26"/>
        </w:rPr>
        <w:t xml:space="preserve">B. Scope &amp; Launch — defining the finish line</w:t>
      </w:r>
    </w:p>
    <w:p>
      <w:pPr>
        <w:spacing w:after="160" w:line="276"/>
      </w:pPr>
      <w:r>
        <w:rPr>
          <w:b/>
          <w:bCs/>
        </w:rPr>
        <w:t xml:space="preserve">Clause 2 — Define “Launch”. </w:t>
      </w:r>
      <w:r>
        <w:rPr>
          <w:i/>
          <w:iCs/>
          <w:color w:val="595959"/>
        </w:rPr>
        <w:t xml:space="preserve">Now: </w:t>
      </w:r>
      <w:r>
        <w:rPr>
          <w:color w:val="595959"/>
        </w:rPr>
        <w:t xml:space="preserve">“launch-ready” and “launch” are used as the trigger that ends the unpaid phase (Clause 3), but are never defined. </w:t>
      </w:r>
      <w:r>
        <w:rPr>
          <w:b/>
          <w:bCs/>
          <w:color w:val="1F3864"/>
        </w:rPr>
        <w:t xml:space="preserve">Proposed: </w:t>
      </w:r>
      <w:r>
        <w:t xml:space="preserve">add a defined term — the product is “Launched” when the Primary Deliverables in 2.1 are verified working in production and the Launch Punch-List in Annex A is closed and accepted by you in writing. Anything not on that list is post-launch work.</w:t>
      </w:r>
    </w:p>
    <w:p>
      <w:pPr>
        <w:spacing w:after="160" w:line="276"/>
      </w:pPr>
      <w:r>
        <w:rPr>
          <w:b/>
          <w:bCs/>
        </w:rPr>
        <w:t xml:space="preserve">Clause 2.2 — Bound “all bugs / any issues”. </w:t>
      </w:r>
      <w:r>
        <w:rPr>
          <w:i/>
          <w:iCs/>
          <w:color w:val="595959"/>
        </w:rPr>
        <w:t xml:space="preserve">Now: </w:t>
      </w:r>
      <w:r>
        <w:rPr>
          <w:color w:val="595959"/>
        </w:rPr>
        <w:t xml:space="preserve">asks me to “resolve all existing bugs” and “fix any issues” with no limit — open-ended, and could stretch the unpaid phase indefinitely. </w:t>
      </w:r>
      <w:r>
        <w:rPr>
          <w:b/>
          <w:bCs/>
          <w:color w:val="1F3864"/>
        </w:rPr>
        <w:t xml:space="preserve">Proposed: </w:t>
      </w:r>
      <w:r>
        <w:t xml:space="preserve">scope 2.2 to launch-blocking (severity P0/P1) issues identified during review and listed in Annex A. Non-blocking bugs (P2/P3) and ongoing stability work fall under the paid post-launch phase.</w:t>
      </w:r>
    </w:p>
    <w:p>
      <w:pPr>
        <w:spacing w:after="160" w:line="276"/>
      </w:pPr>
      <w:r>
        <w:rPr>
          <w:b/>
          <w:bCs/>
        </w:rPr>
        <w:t xml:space="preserve">Clause 2 — Add a milestone schedule. </w:t>
      </w:r>
      <w:r>
        <w:rPr>
          <w:i/>
          <w:iCs/>
          <w:color w:val="595959"/>
        </w:rPr>
        <w:t xml:space="preserve">Now: </w:t>
      </w:r>
      <w:r>
        <w:rPr>
          <w:color w:val="595959"/>
        </w:rPr>
        <w:t xml:space="preserve">no dates or milestones, only a “September 2026” target in the status table. </w:t>
      </w:r>
      <w:r>
        <w:rPr>
          <w:b/>
          <w:bCs/>
          <w:color w:val="1F3864"/>
        </w:rPr>
        <w:t xml:space="preserve">Proposed: </w:t>
      </w:r>
      <w:r>
        <w:t xml:space="preserve">adopt the dated milestone schedule in Annex A (July–September 2026) so we track to the same timeline and can flag slippage early.</w:t>
      </w:r>
    </w:p>
    <w:p>
      <w:pPr>
        <w:spacing w:after="160" w:line="276"/>
      </w:pPr>
      <w:r>
        <w:rPr>
          <w:b/>
          <w:bCs/>
        </w:rPr>
        <w:t xml:space="preserve">Clause 9 — Scope-creep guardrail. </w:t>
      </w:r>
      <w:r>
        <w:rPr>
          <w:i/>
          <w:iCs/>
          <w:color w:val="595959"/>
        </w:rPr>
        <w:t xml:space="preserve">Now: </w:t>
      </w:r>
      <w:r>
        <w:rPr>
          <w:color w:val="595959"/>
        </w:rPr>
        <w:t xml:space="preserve">good that significant changes must be in writing. </w:t>
      </w:r>
      <w:r>
        <w:rPr>
          <w:b/>
          <w:bCs/>
          <w:color w:val="1F3864"/>
        </w:rPr>
        <w:t xml:space="preserve">Proposed: </w:t>
      </w:r>
      <w:r>
        <w:t xml:space="preserve">add that any new deliverable beyond Annex A requested during the unpaid phase is treated as post-launch (paid) work by default, unless we both agree otherwise in writing.</w:t>
      </w:r>
    </w:p>
    <w:p>
      <w:pPr>
        <w:pStyle w:val="Heading1"/>
        <w:spacing w:after="100" w:before="260"/>
      </w:pPr>
      <w:r>
        <w:rPr>
          <w:b/>
          <w:bCs/>
          <w:color w:val="1F3864"/>
          <w:sz w:val="26"/>
          <w:szCs w:val="26"/>
        </w:rPr>
        <w:t xml:space="preserve">C. Compensation &amp; IP — making the commitment real</w:t>
      </w:r>
    </w:p>
    <w:p>
      <w:pPr>
        <w:spacing w:after="160" w:line="276"/>
      </w:pPr>
      <w:r>
        <w:rPr>
          <w:b/>
          <w:bCs/>
        </w:rPr>
        <w:t xml:space="preserve">Clause 3.2 — Anchor the post-revenue pay. </w:t>
      </w:r>
      <w:r>
        <w:rPr>
          <w:i/>
          <w:iCs/>
          <w:color w:val="595959"/>
        </w:rPr>
        <w:t xml:space="preserve">Now: </w:t>
      </w:r>
      <w:r>
        <w:rPr>
          <w:color w:val="595959"/>
        </w:rPr>
        <w:t xml:space="preserve">the amount and frequency are entirely undefined (“to be agreed … what the business can sustainably support”). An “agreement to agree” isn't something either of us can actually rely on or enforce. </w:t>
      </w:r>
      <w:r>
        <w:rPr>
          <w:b/>
          <w:bCs/>
          <w:color w:val="1F3864"/>
        </w:rPr>
        <w:t xml:space="preserve">Proposed: </w:t>
      </w:r>
      <w:r>
        <w:t xml:space="preserve">pick one anchor now — (a) a monthly retainer figure or range, (b) a percentage of the platform charge (the 1% the platform earns on each payment), or (c) a defined day-rate — plus a deadline: we put the figure in writing within 14 days of the revenue trigger, with a stated fallback if we can't agree. Happy to discuss what's fair and sustainable.</w:t>
      </w:r>
    </w:p>
    <w:p>
      <w:pPr>
        <w:spacing w:after="160" w:line="276"/>
      </w:pPr>
      <w:r>
        <w:rPr>
          <w:b/>
          <w:bCs/>
        </w:rPr>
        <w:t xml:space="preserve">Clause 3 — Start the clock at Launch, not only “first paying school”. </w:t>
      </w:r>
      <w:r>
        <w:rPr>
          <w:i/>
          <w:iCs/>
          <w:color w:val="595959"/>
        </w:rPr>
        <w:t xml:space="preserve">Now: </w:t>
      </w:r>
      <w:r>
        <w:rPr>
          <w:color w:val="595959"/>
        </w:rPr>
        <w:t xml:space="preserve">the paid phase triggers only when a school is paying — but there can be a gap between the product being live and the first school onboarding. </w:t>
      </w:r>
      <w:r>
        <w:rPr>
          <w:b/>
          <w:bCs/>
          <w:color w:val="1F3864"/>
        </w:rPr>
        <w:t xml:space="preserve">Proposed: </w:t>
      </w:r>
      <w:r>
        <w:t xml:space="preserve">the paid phase begins at the earlier of (i) revenue commencing, or (ii) 30 days after Launch. Protects both of us from an open-ended unpaid gap after the work is done.</w:t>
      </w:r>
    </w:p>
    <w:p>
      <w:pPr>
        <w:spacing w:after="160" w:line="276"/>
      </w:pPr>
      <w:r>
        <w:rPr>
          <w:b/>
          <w:bCs/>
        </w:rPr>
        <w:t xml:space="preserve">Clauses 6 + 3 — Tie the IP assignment to the pay actually happening. </w:t>
      </w:r>
      <w:r>
        <w:rPr>
          <w:i/>
          <w:iCs/>
          <w:color w:val="595959"/>
        </w:rPr>
        <w:t xml:space="preserve">Now: </w:t>
      </w:r>
      <w:r>
        <w:rPr>
          <w:color w:val="595959"/>
        </w:rPr>
        <w:t xml:space="preserve">I assign all IP to EduLedgerNG/you, in exchange for a future compensation promise. </w:t>
      </w:r>
      <w:r>
        <w:rPr>
          <w:b/>
          <w:bCs/>
          <w:color w:val="1F3864"/>
        </w:rPr>
        <w:t xml:space="preserve">Proposed: </w:t>
      </w:r>
      <w:r>
        <w:t xml:space="preserve">I'm fine assigning the IP — but since it's unpaid on the strength of a future promise, the two should be linked. State that the IP assignment and the Clause 3 compensation commitment are mutually dependent, and that the good-faith compensation obligation is binding, not merely aspirational. At minimum, the written acknowledgment of contribution and recommendation letter are issued at Launch regardless of what follows.</w:t>
      </w:r>
    </w:p>
    <w:p>
      <w:pPr>
        <w:spacing w:after="160" w:line="276"/>
      </w:pPr>
      <w:r>
        <w:rPr>
          <w:b/>
          <w:bCs/>
        </w:rPr>
        <w:t xml:space="preserve">Clause 8.1 — Guardrail on terminate-for-convenience. </w:t>
      </w:r>
      <w:r>
        <w:rPr>
          <w:i/>
          <w:iCs/>
          <w:color w:val="595959"/>
        </w:rPr>
        <w:t xml:space="preserve">Now: </w:t>
      </w:r>
      <w:r>
        <w:rPr>
          <w:color w:val="595959"/>
        </w:rPr>
        <w:t xml:space="preserve">either party can exit on 30 days' notice — which, combined with unpaid work + full IP assignment, means the work and IP could transfer without compensation ever starting. </w:t>
      </w:r>
      <w:r>
        <w:rPr>
          <w:b/>
          <w:bCs/>
          <w:color w:val="1F3864"/>
        </w:rPr>
        <w:t xml:space="preserve">Proposed: </w:t>
      </w:r>
      <w:r>
        <w:t xml:space="preserve">if you terminate without cause after Launch-readiness is reached, the Clause 3 compensation still commences (or a defined back-pay / kill-fee applies). Symmetrical good-faith protection.</w:t>
      </w:r>
    </w:p>
    <w:p>
      <w:pPr>
        <w:pStyle w:val="Heading1"/>
        <w:spacing w:after="100" w:before="260"/>
      </w:pPr>
      <w:r>
        <w:rPr>
          <w:b/>
          <w:bCs/>
          <w:color w:val="1F3864"/>
          <w:sz w:val="26"/>
          <w:szCs w:val="26"/>
        </w:rPr>
        <w:t xml:space="preserve">D. Housekeeping</w:t>
      </w:r>
    </w:p>
    <w:p>
      <w:pPr>
        <w:spacing w:after="160" w:line="276"/>
      </w:pPr>
      <w:r>
        <w:rPr>
          <w:b/>
          <w:bCs/>
        </w:rPr>
        <w:t xml:space="preserve">New clause — Governing law &amp; disputes. </w:t>
      </w:r>
      <w:r>
        <w:rPr>
          <w:i/>
          <w:iCs/>
          <w:color w:val="595959"/>
        </w:rPr>
        <w:t xml:space="preserve">Now: </w:t>
      </w:r>
      <w:r>
        <w:rPr>
          <w:color w:val="595959"/>
        </w:rPr>
        <w:t xml:space="preserve">none specified, and we're working across borders. </w:t>
      </w:r>
      <w:r>
        <w:rPr>
          <w:b/>
          <w:bCs/>
          <w:color w:val="1F3864"/>
        </w:rPr>
        <w:t xml:space="preserve">Proposed: </w:t>
      </w:r>
      <w:r>
        <w:t xml:space="preserve">add a short clause naming the governing law and a simple dispute path (good-faith discussion → mediation / arbitration).</w:t>
      </w:r>
    </w:p>
    <w:p>
      <w:pPr>
        <w:spacing w:after="160" w:line="276"/>
      </w:pPr>
      <w:r>
        <w:rPr>
          <w:b/>
          <w:bCs/>
        </w:rPr>
        <w:t xml:space="preserve">Optional — Founding-developer recognition. </w:t>
      </w:r>
      <w:r>
        <w:rPr>
          <w:i/>
          <w:iCs/>
          <w:color w:val="595959"/>
        </w:rPr>
        <w:t xml:space="preserve">Now: </w:t>
      </w:r>
      <w:r>
        <w:rPr>
          <w:color w:val="595959"/>
        </w:rPr>
        <w:t xml:space="preserve">I'm building the platform pre-revenue and unpaid as “founding developer.” </w:t>
      </w:r>
      <w:r>
        <w:rPr>
          <w:b/>
          <w:bCs/>
          <w:color w:val="1F3864"/>
        </w:rPr>
        <w:t xml:space="preserve">Proposed: </w:t>
      </w:r>
      <w:r>
        <w:t xml:space="preserve">worth a conversation about whether a small equity stake or a one-time founding-developer bonus at launch is on the table. Raising it as a question, not a demand — open to your thoughts.</w:t>
      </w:r>
    </w:p>
    <w:p>
      <w:pPr>
        <w:pBdr>
          <w:bottom w:val="single" w:color="BFBFBF" w:sz="6" w:space="1"/>
        </w:pBdr>
        <w:spacing w:after="120" w:before="60"/>
      </w:pPr>
      <w:r>
        <w:t xml:space="preserve"/>
      </w:r>
    </w:p>
    <w:p>
      <w:pPr>
        <w:spacing w:after="120" w:line="276"/>
      </w:pPr>
      <w:r>
        <w:rPr>
          <w:i/>
          <w:iCs/>
        </w:rPr>
        <w:t xml:space="preserve">That's it — most of these are about clarity, not changing the deal, especially defining “launch” so we both know when we've crossed the line. Annex A has the concrete scope, punch-list, and dates. Take a look and let's align. Excited to build this.</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color w:val="595959"/>
        <w:sz w:val="16"/>
        <w:szCs w:val="16"/>
      </w:rPr>
      <w:t xml:space="preserve">EduLedgerNG — Proposed Clarifications  ·  Confidential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2026-07-08T17:21:30.539Z</dcterms:created>
  <dcterms:modified xsi:type="dcterms:W3CDTF">2026-07-08T17:21:30.548Z</dcterms:modified>
</cp:coreProperties>
</file>

<file path=docProps/custom.xml><?xml version="1.0" encoding="utf-8"?>
<Properties xmlns="http://schemas.openxmlformats.org/officeDocument/2006/custom-properties" xmlns:vt="http://schemas.openxmlformats.org/officeDocument/2006/docPropsVTypes"/>
</file>