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skills demonstration the learner will demonstrate an ability to configure 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wireless network router implementing appropriate security features. In addition the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learner will connect to the network using a mobile device and demonstrate the steps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required to manage mobile devices and systems by installing Apps or performing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software updates.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complete the following: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up the following in Packet Tracer: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Install a WR300N Wireless router, Install a SmartPhone, a Wireless Tablet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a Laptop.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Enable and configure DHCP on Wireless router.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Change the IP pool for DHCP to be 192.168.0.54 to 192.168.0.60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Configure the SSID name to be “SkillsDemo..” and add your own initials.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Secure the network by configuring WPA - Personal key.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Select Encryption key TKIP with passphrase “Brennan22 ”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Change the Router password to be “CyberSecurity24”.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Setup Mac address filtering for the devices you are installing on your wireless network.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Show that the Topology is working on Infrastructure mode.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Demonstrate that you have made a connection with all the devices.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11. Demonstrate that there is a two way communication between all the devices by using the Command Prompt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