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line="240" w:lineRule="auto"/>
        <w:jc w:val="center"/>
      </w:pPr>
      <w:r>
        <w:rPr>
          <w:rFonts w:ascii="Times New Roman" w:hAnsi="Times New Roman" w:cs="Times New Roman"/>
          <w:b/>
          <w:bCs/>
          <w:sz w:val="20"/>
          <w:szCs w:val="20"/>
        </w:rPr>
        <w:t xml:space="preserve">FICHE DE COURS</w:t>
      </w:r>
    </w:p>
    <w:tbl>
      <w:tblPr>
        <w:tblW w:type="dxa" w:w="10206"/>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50"/>
        <w:gridCol w:w="8556"/>
      </w:tblGrid>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Discipline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Français</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Date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20/10/2026</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Classe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2nde A</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Compétence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Compétence 1 : Traiter des situations relatives à la construction du sens de textes divers.</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Activité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Étude de l'œuvre intégrale</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Durée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1 heure</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Leçon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1 : Œuvre narrative</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Séance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9 : Lecture méthodique n°3</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Établissement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Lycée de test</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Enseignant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Enseignant de test</w:t>
            </w:r>
          </w:p>
        </w:tc>
      </w:tr>
    </w:tbl>
    <w:p>
      <w:pPr>
        <w:spacing w:before="0" w:after="40" w:line="240" w:lineRule="auto"/>
      </w:pPr>
    </w:p>
    <w:p>
      <w:pPr>
        <w:spacing w:before="0" w:after="120" w:line="240" w:lineRule="auto"/>
      </w:pPr>
      <w:r>
        <w:rPr>
          <w:rFonts w:ascii="Times New Roman" w:hAnsi="Times New Roman" w:cs="Times New Roman"/>
          <w:sz w:val="20"/>
          <w:szCs w:val="20"/>
        </w:rPr>
        <w:t xml:space="preserve">Situation d'apprentissage : Dans le cadre de l'étude de l'œuvre Œuvre de test de Auteur de test, votre classe aborde la scène du dialogue entre les deux personnages. Après une première lecture, un camarade affirme qu'il n'y a rien de plus à dire que ce que tout le monde a compris. Pourtant, le passage semble contenir plus que ce qu'on voit au premier regard. Vous voulez lui montrer comment ce passage construit son sens. Comment procéder pour lire ce passage de façon rigoureuse ?</w:t>
      </w:r>
    </w:p>
    <w:tbl>
      <w:tblPr>
        <w:tblW w:type="dxa" w:w="10206"/>
        <w:tblInd w:type="dxa" w:w="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552"/>
        <w:gridCol w:w="7654"/>
      </w:tblGrid>
      <w:tr>
        <w:trPr>
          <w:cantSplit/>
          <w:tblHeader/>
        </w:trPr>
        <w:tc>
          <w:tcPr>
            <w:tcW w:type="dxa" w:w="2552"/>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Habiletés</w:t>
            </w:r>
          </w:p>
        </w:tc>
        <w:tc>
          <w:tcPr>
            <w:tcW w:type="dxa" w:w="7654"/>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Contenus</w:t>
            </w:r>
          </w:p>
        </w:tc>
      </w:tr>
      <w:tr>
        <w:trPr>
          <w:cantSplit w:val="false"/>
          <w:tblHeader w:val="false"/>
        </w:trPr>
        <w:tc>
          <w:tcPr>
            <w:tcW w:type="dxa" w:w="255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Formuler</w:t>
            </w:r>
          </w:p>
        </w:tc>
        <w:tc>
          <w:tcPr>
            <w:tcW w:type="dxa" w:w="7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des hypothèses de lecture (Lecture méthodique)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l'hypothèse générale (Lecture méthodique)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 fil conducteur (Lecture dirigée)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 problème en rapport avec le thème de l'exposé.</w:t>
            </w:r>
          </w:p>
        </w:tc>
      </w:tr>
      <w:tr>
        <w:trPr>
          <w:cantSplit w:val="false"/>
          <w:tblHeader w:val="false"/>
        </w:trPr>
        <w:tc>
          <w:tcPr>
            <w:tcW w:type="dxa" w:w="255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Identifier</w:t>
            </w:r>
          </w:p>
        </w:tc>
        <w:tc>
          <w:tcPr>
            <w:tcW w:type="dxa" w:w="7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 type de texte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la tonalité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les personnages et les thèmes majeurs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les outils grammaticaux pertinents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les indices lexicaux pertinents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les figures de style pertinentes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 schéma actantiel.</w:t>
            </w:r>
          </w:p>
        </w:tc>
      </w:tr>
      <w:tr>
        <w:trPr>
          <w:cantSplit w:val="false"/>
          <w:tblHeader w:val="false"/>
        </w:trPr>
        <w:tc>
          <w:tcPr>
            <w:tcW w:type="dxa" w:w="255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Analyser</w:t>
            </w:r>
          </w:p>
        </w:tc>
        <w:tc>
          <w:tcPr>
            <w:tcW w:type="dxa" w:w="7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les indices textuels relevés.</w:t>
            </w:r>
          </w:p>
        </w:tc>
      </w:tr>
      <w:tr>
        <w:trPr>
          <w:cantSplit w:val="false"/>
          <w:tblHeader w:val="false"/>
        </w:trPr>
        <w:tc>
          <w:tcPr>
            <w:tcW w:type="dxa" w:w="255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Interpréter</w:t>
            </w:r>
          </w:p>
        </w:tc>
        <w:tc>
          <w:tcPr>
            <w:tcW w:type="dxa" w:w="7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les indices textuels relevés.</w:t>
            </w:r>
          </w:p>
        </w:tc>
      </w:tr>
      <w:tr>
        <w:trPr>
          <w:cantSplit w:val="false"/>
          <w:tblHeader w:val="false"/>
        </w:trPr>
        <w:tc>
          <w:tcPr>
            <w:tcW w:type="dxa" w:w="255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Appliquer</w:t>
            </w:r>
          </w:p>
        </w:tc>
        <w:tc>
          <w:tcPr>
            <w:tcW w:type="dxa" w:w="7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la démarche des activités de lecture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la démarche de l'exposé.</w:t>
            </w:r>
          </w:p>
        </w:tc>
      </w:tr>
    </w:tbl>
    <w:p>
      <w:pPr>
        <w:spacing w:before="0" w:after="40" w:line="240" w:lineRule="auto"/>
      </w:pPr>
    </w:p>
    <w:tbl>
      <w:tblPr>
        <w:tblW w:type="dxa" w:w="10206"/>
        <w:tblInd w:type="dxa" w:w="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103"/>
        <w:gridCol w:w="5103"/>
      </w:tblGrid>
      <w:tr>
        <w:trPr>
          <w:cantSplit w:val="false"/>
          <w:tblHeader w:val="false"/>
        </w:trPr>
        <w:tc>
          <w:tcPr>
            <w:tcW w:type="dxa" w:w="5103"/>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Supports didactiques</w:t>
            </w:r>
          </w:p>
          <w:p>
            <w:pPr>
              <w:spacing w:before="0" w:after="40" w:line="240" w:lineRule="auto"/>
            </w:pPr>
            <w:r>
              <w:rPr>
                <w:rFonts w:ascii="Times New Roman" w:hAnsi="Times New Roman" w:cs="Times New Roman"/>
                <w:b w:val="false"/>
                <w:bCs w:val="false"/>
                <w:sz w:val="20"/>
                <w:szCs w:val="20"/>
              </w:rPr>
              <w:t xml:space="preserve">- Œuvre de test, Auteur de test, Éditions de test</w:t>
            </w:r>
          </w:p>
          <w:p>
            <w:pPr>
              <w:spacing w:before="0" w:after="40" w:line="240" w:lineRule="auto"/>
            </w:pPr>
            <w:r>
              <w:rPr>
                <w:rFonts w:ascii="Times New Roman" w:hAnsi="Times New Roman" w:cs="Times New Roman"/>
                <w:b w:val="false"/>
                <w:bCs w:val="false"/>
                <w:sz w:val="20"/>
                <w:szCs w:val="20"/>
              </w:rPr>
              <w:t xml:space="preserve">- Passage étudié : pages 23 à 25</w:t>
            </w:r>
          </w:p>
        </w:tc>
        <w:tc>
          <w:tcPr>
            <w:tcW w:type="dxa" w:w="5103"/>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Bibliographie</w:t>
            </w:r>
          </w:p>
          <w:p>
            <w:pPr>
              <w:spacing w:before="0" w:after="40" w:line="240" w:lineRule="auto"/>
            </w:pPr>
            <w:r>
              <w:rPr>
                <w:rFonts w:ascii="Times New Roman" w:hAnsi="Times New Roman" w:cs="Times New Roman"/>
                <w:b w:val="false"/>
                <w:bCs w:val="false"/>
                <w:sz w:val="20"/>
                <w:szCs w:val="20"/>
              </w:rPr>
              <w:t xml:space="preserve">- Auteur de test, Œuvre de test, Éditions de test</w:t>
            </w:r>
          </w:p>
          <w:p>
            <w:pPr>
              <w:spacing w:before="0" w:after="40" w:line="240" w:lineRule="auto"/>
            </w:pPr>
            <w:r>
              <w:rPr>
                <w:rFonts w:ascii="Times New Roman" w:hAnsi="Times New Roman" w:cs="Times New Roman"/>
                <w:b w:val="false"/>
                <w:bCs w:val="false"/>
                <w:sz w:val="20"/>
                <w:szCs w:val="20"/>
              </w:rPr>
              <w:t xml:space="preserve">- Programme éducatif Français 2nde et guide d'exécution, MENA, Côte d'Ivoire</w:t>
            </w:r>
          </w:p>
        </w:tc>
      </w:tr>
    </w:tbl>
    <w:p>
      <w:pPr>
        <w:spacing w:before="0" w:after="40" w:line="240" w:lineRule="auto"/>
      </w:pPr>
    </w:p>
    <w:tbl>
      <w:tblPr>
        <w:tblW w:type="dxa" w:w="10206"/>
        <w:tblInd w:type="dxa" w:w="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27"/>
        <w:gridCol w:w="1429"/>
        <w:gridCol w:w="2654"/>
        <w:gridCol w:w="2654"/>
        <w:gridCol w:w="2142"/>
      </w:tblGrid>
      <w:tr>
        <w:trPr>
          <w:cantSplit/>
          <w:tblHeader/>
        </w:trPr>
        <w:tc>
          <w:tcPr>
            <w:tcW w:type="dxa" w:w="1327"/>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Moments didactiques / Durée</w:t>
            </w:r>
          </w:p>
        </w:tc>
        <w:tc>
          <w:tcPr>
            <w:tcW w:type="dxa" w:w="1429"/>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Stratégies pédagogiques</w:t>
            </w:r>
          </w:p>
        </w:tc>
        <w:tc>
          <w:tcPr>
            <w:tcW w:type="dxa" w:w="2654"/>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Activités de l'enseignant</w:t>
            </w:r>
          </w:p>
        </w:tc>
        <w:tc>
          <w:tcPr>
            <w:tcW w:type="dxa" w:w="2654"/>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Activités des élèves</w:t>
            </w:r>
          </w:p>
        </w:tc>
        <w:tc>
          <w:tcPr>
            <w:tcW w:type="dxa" w:w="2142"/>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Traces écrites</w:t>
            </w:r>
          </w:p>
        </w:tc>
      </w:tr>
      <w:tr>
        <w:trPr>
          <w:cantSplit w:val="false"/>
          <w:tblHeader w:val="false"/>
        </w:trPr>
        <w:tc>
          <w:tcPr>
            <w:tcW w:type="dxa" w:w="1327"/>
            <w:tcMar>
              <w:top w:type="dxa" w:w="80"/>
              <w:left w:type="dxa" w:w="100"/>
              <w:bottom w:type="dxa" w:w="80"/>
              <w:right w:type="dxa" w:w="100"/>
            </w:tcMar>
            <w:vAlign w:val="top"/>
          </w:tcPr>
          <w:p>
            <w:pPr>
              <w:spacing w:before="0" w:after="40" w:line="240" w:lineRule="auto"/>
            </w:pPr>
            <w:r>
              <w:rPr>
                <w:rFonts w:ascii="Times New Roman" w:hAnsi="Times New Roman" w:cs="Times New Roman"/>
                <w:b/>
                <w:bCs/>
                <w:sz w:val="12"/>
                <w:szCs w:val="12"/>
              </w:rPr>
              <w:t xml:space="preserve">PRÉSENTATION</w:t>
            </w:r>
          </w:p>
          <w:p>
            <w:pPr>
              <w:spacing w:before="0" w:after="40" w:line="240" w:lineRule="auto"/>
            </w:pPr>
            <w:r>
              <w:rPr>
                <w:rFonts w:ascii="Times New Roman" w:hAnsi="Times New Roman" w:cs="Times New Roman"/>
                <w:b/>
                <w:bCs/>
                <w:sz w:val="20"/>
                <w:szCs w:val="20"/>
              </w:rPr>
              <w:t xml:space="preserve">(5 mn)</w:t>
            </w:r>
          </w:p>
        </w:tc>
        <w:tc>
          <w:tcPr>
            <w:tcW w:type="dxa" w:w="1429"/>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Questions-réponses</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Salue la classe, fais l'appel et rappelle la séance précédente.</w:t>
            </w:r>
          </w:p>
          <w:p>
            <w:pPr>
              <w:spacing w:before="0" w:after="40" w:line="240" w:lineRule="auto"/>
            </w:pPr>
            <w:r>
              <w:rPr>
                <w:rFonts w:ascii="Times New Roman" w:hAnsi="Times New Roman" w:cs="Times New Roman"/>
                <w:b w:val="false"/>
                <w:bCs w:val="false"/>
                <w:sz w:val="20"/>
                <w:szCs w:val="20"/>
              </w:rPr>
              <w:t xml:space="preserve">- Demande : « Rappelle le titre de l'œuvre, son auteur et son genre. »</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Les élèves répondent aux questions de rappel.</w:t>
            </w:r>
          </w:p>
          <w:p>
            <w:pPr>
              <w:spacing w:before="0" w:after="40" w:line="240" w:lineRule="auto"/>
            </w:pPr>
            <w:r>
              <w:rPr>
                <w:rFonts w:ascii="Times New Roman" w:hAnsi="Times New Roman" w:cs="Times New Roman"/>
                <w:b w:val="false"/>
                <w:bCs w:val="false"/>
                <w:sz w:val="20"/>
                <w:szCs w:val="20"/>
              </w:rPr>
              <w:t xml:space="preserve">- Les élèves rappellent l'œuvre, l'auteur et le genre.</w:t>
            </w:r>
          </w:p>
        </w:tc>
        <w:tc>
          <w:tcPr>
            <w:tcW w:type="dxa" w:w="214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1 : Œuvre narrative</w:t>
            </w:r>
          </w:p>
          <w:p>
            <w:pPr>
              <w:spacing w:before="0" w:after="40" w:line="240" w:lineRule="auto"/>
            </w:pPr>
            <w:r>
              <w:rPr>
                <w:rFonts w:ascii="Times New Roman" w:hAnsi="Times New Roman" w:cs="Times New Roman"/>
                <w:b w:val="false"/>
                <w:bCs w:val="false"/>
                <w:sz w:val="20"/>
                <w:szCs w:val="20"/>
              </w:rPr>
              <w:t xml:space="preserve">9 : Lecture méthodique n°3</w:t>
            </w:r>
          </w:p>
        </w:tc>
      </w:tr>
      <w:tr>
        <w:trPr>
          <w:cantSplit w:val="false"/>
          <w:tblHeader w:val="false"/>
        </w:trPr>
        <w:tc>
          <w:tcPr>
            <w:tcW w:type="dxa" w:w="1327"/>
            <w:tcMar>
              <w:top w:type="dxa" w:w="80"/>
              <w:left w:type="dxa" w:w="100"/>
              <w:bottom w:type="dxa" w:w="80"/>
              <w:right w:type="dxa" w:w="100"/>
            </w:tcMar>
            <w:vAlign w:val="top"/>
          </w:tcPr>
          <w:p>
            <w:pPr>
              <w:spacing w:before="0" w:after="40" w:line="240" w:lineRule="auto"/>
            </w:pPr>
            <w:r>
              <w:rPr>
                <w:rFonts w:ascii="Times New Roman" w:hAnsi="Times New Roman" w:cs="Times New Roman"/>
                <w:b/>
                <w:bCs/>
                <w:sz w:val="12"/>
                <w:szCs w:val="12"/>
              </w:rPr>
              <w:t xml:space="preserve">DÉVELOPPEMENT</w:t>
            </w:r>
          </w:p>
          <w:p>
            <w:pPr>
              <w:spacing w:before="0" w:after="40" w:line="240" w:lineRule="auto"/>
            </w:pPr>
            <w:r>
              <w:rPr>
                <w:rFonts w:ascii="Times New Roman" w:hAnsi="Times New Roman" w:cs="Times New Roman"/>
                <w:b/>
                <w:bCs/>
                <w:sz w:val="20"/>
                <w:szCs w:val="20"/>
              </w:rPr>
              <w:t xml:space="preserve">(45 mn)</w:t>
            </w:r>
          </w:p>
          <w:p>
            <w:pPr>
              <w:spacing w:before="0" w:after="40" w:line="240" w:lineRule="auto"/>
            </w:pPr>
            <w:r>
              <w:rPr>
                <w:rFonts w:ascii="Times New Roman" w:hAnsi="Times New Roman" w:cs="Times New Roman"/>
                <w:b w:val="false"/>
                <w:bCs w:val="false"/>
                <w:sz w:val="20"/>
                <w:szCs w:val="20"/>
              </w:rPr>
              <w:t xml:space="preserve">1. Présentation du passage et hypothèse générale (15 mn)</w:t>
            </w:r>
          </w:p>
          <w:p>
            <w:pPr>
              <w:spacing w:before="0" w:after="40" w:line="240" w:lineRule="auto"/>
            </w:pPr>
            <w:r>
              <w:rPr>
                <w:rFonts w:ascii="Times New Roman" w:hAnsi="Times New Roman" w:cs="Times New Roman"/>
                <w:b w:val="false"/>
                <w:bCs w:val="false"/>
                <w:sz w:val="20"/>
                <w:szCs w:val="20"/>
              </w:rPr>
              <w:t xml:space="preserve">2. Vérification de l'axe de lecture 1 : la nature dramatique et dialoguée du passage (15 mn)</w:t>
            </w:r>
          </w:p>
          <w:p>
            <w:pPr>
              <w:spacing w:before="0" w:after="40" w:line="240" w:lineRule="auto"/>
            </w:pPr>
            <w:r>
              <w:rPr>
                <w:rFonts w:ascii="Times New Roman" w:hAnsi="Times New Roman" w:cs="Times New Roman"/>
                <w:b w:val="false"/>
                <w:bCs w:val="false"/>
                <w:sz w:val="20"/>
                <w:szCs w:val="20"/>
              </w:rPr>
              <w:t xml:space="preserve">3. Vérification de l'axe de lecture 2 et bilan (15 mn)</w:t>
            </w:r>
          </w:p>
        </w:tc>
        <w:tc>
          <w:tcPr>
            <w:tcW w:type="dxa" w:w="1429"/>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1. Dialogue dirigé</w:t>
            </w:r>
          </w:p>
          <w:p>
            <w:pPr>
              <w:spacing w:before="0" w:after="40" w:line="240" w:lineRule="auto"/>
            </w:pPr>
            <w:r>
              <w:rPr>
                <w:rFonts w:ascii="Times New Roman" w:hAnsi="Times New Roman" w:cs="Times New Roman"/>
                <w:b w:val="false"/>
                <w:bCs w:val="false"/>
                <w:sz w:val="20"/>
                <w:szCs w:val="20"/>
              </w:rPr>
              <w:t xml:space="preserve">2. Questions dirigées sur le texte</w:t>
            </w:r>
          </w:p>
          <w:p>
            <w:pPr>
              <w:spacing w:before="0" w:after="40" w:line="240" w:lineRule="auto"/>
            </w:pPr>
            <w:r>
              <w:rPr>
                <w:rFonts w:ascii="Times New Roman" w:hAnsi="Times New Roman" w:cs="Times New Roman"/>
                <w:b w:val="false"/>
                <w:bCs w:val="false"/>
                <w:sz w:val="20"/>
                <w:szCs w:val="20"/>
              </w:rPr>
              <w:t xml:space="preserve">3. Questions dirigées sur le texte</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Demande : « Donne la source du passage : titre, auteur, éditeur, année. »</w:t>
            </w:r>
          </w:p>
          <w:p>
            <w:pPr>
              <w:spacing w:before="0" w:after="40" w:line="240" w:lineRule="auto"/>
            </w:pPr>
            <w:r>
              <w:rPr>
                <w:rFonts w:ascii="Times New Roman" w:hAnsi="Times New Roman" w:cs="Times New Roman"/>
                <w:b w:val="false"/>
                <w:bCs w:val="false"/>
                <w:sz w:val="20"/>
                <w:szCs w:val="20"/>
              </w:rPr>
              <w:t xml:space="preserve">- Demande : « Lis le titre ou le début du passage : de quoi pourrait-il s'agir ? »</w:t>
            </w:r>
          </w:p>
          <w:p>
            <w:pPr>
              <w:spacing w:before="0" w:after="40" w:line="240" w:lineRule="auto"/>
            </w:pPr>
            <w:r>
              <w:rPr>
                <w:rFonts w:ascii="Times New Roman" w:hAnsi="Times New Roman" w:cs="Times New Roman"/>
                <w:b w:val="false"/>
                <w:bCs w:val="false"/>
                <w:sz w:val="20"/>
                <w:szCs w:val="20"/>
              </w:rPr>
              <w:t xml:space="preserve">- Note les hypothèses au tableau sans les valider, puis demande une lecture silencieuse du passage.</w:t>
            </w:r>
          </w:p>
          <w:p>
            <w:pPr>
              <w:spacing w:before="0" w:after="40" w:line="240" w:lineRule="auto"/>
            </w:pPr>
            <w:r>
              <w:rPr>
                <w:rFonts w:ascii="Times New Roman" w:hAnsi="Times New Roman" w:cs="Times New Roman"/>
                <w:b w:val="false"/>
                <w:bCs w:val="false"/>
                <w:sz w:val="20"/>
                <w:szCs w:val="20"/>
              </w:rPr>
              <w:t xml:space="preserve">- Demande : « De quoi est-il question maintenant ? Compare avec ta première idée. »</w:t>
            </w:r>
          </w:p>
          <w:p>
            <w:pPr>
              <w:spacing w:before="0" w:after="40" w:line="240" w:lineRule="auto"/>
            </w:pPr>
            <w:r>
              <w:rPr>
                <w:rFonts w:ascii="Times New Roman" w:hAnsi="Times New Roman" w:cs="Times New Roman"/>
                <w:b w:val="false"/>
                <w:bCs w:val="false"/>
                <w:sz w:val="20"/>
                <w:szCs w:val="20"/>
              </w:rPr>
              <w:t xml:space="preserve">- Fais une lecture magistrale du passage.</w:t>
            </w:r>
          </w:p>
          <w:p>
            <w:pPr>
              <w:spacing w:before="0" w:after="40" w:line="240" w:lineRule="auto"/>
            </w:pPr>
            <w:r>
              <w:rPr>
                <w:rFonts w:ascii="Times New Roman" w:hAnsi="Times New Roman" w:cs="Times New Roman"/>
                <w:b w:val="false"/>
                <w:bCs w:val="false"/>
                <w:sz w:val="20"/>
                <w:szCs w:val="20"/>
              </w:rPr>
              <w:t xml:space="preserve">- Demande : « Donne la nature du passage, sa tonalité et son thème, puis formule l'hypothèse générale. »</w:t>
            </w:r>
          </w:p>
          <w:p>
            <w:pPr>
              <w:spacing w:before="0" w:after="40" w:line="240" w:lineRule="auto"/>
            </w:pPr>
            <w:r>
              <w:rPr>
                <w:rFonts w:ascii="Times New Roman" w:hAnsi="Times New Roman" w:cs="Times New Roman"/>
                <w:b w:val="false"/>
                <w:bCs w:val="false"/>
                <w:sz w:val="20"/>
                <w:szCs w:val="20"/>
              </w:rPr>
              <w:t xml:space="preserve">- Annonce l'axe de lecture 1 : la nature dramatique et dialoguée du passage.</w:t>
            </w:r>
          </w:p>
          <w:p>
            <w:pPr>
              <w:spacing w:before="0" w:after="40" w:line="240" w:lineRule="auto"/>
            </w:pPr>
            <w:r>
              <w:rPr>
                <w:rFonts w:ascii="Times New Roman" w:hAnsi="Times New Roman" w:cs="Times New Roman"/>
                <w:b w:val="false"/>
                <w:bCs w:val="false"/>
                <w:sz w:val="20"/>
                <w:szCs w:val="20"/>
              </w:rPr>
              <w:t xml:space="preserve">- Demande : « Relève dans le texte les indices concernant le type de texte. »</w:t>
            </w:r>
          </w:p>
          <w:p>
            <w:pPr>
              <w:spacing w:before="0" w:after="40" w:line="240" w:lineRule="auto"/>
            </w:pPr>
            <w:r>
              <w:rPr>
                <w:rFonts w:ascii="Times New Roman" w:hAnsi="Times New Roman" w:cs="Times New Roman"/>
                <w:b w:val="false"/>
                <w:bCs w:val="false"/>
                <w:sz w:val="20"/>
                <w:szCs w:val="20"/>
              </w:rPr>
              <w:t xml:space="preserve">- Demande : « Nomme ces procédés et justifie leur emploi. »</w:t>
            </w:r>
          </w:p>
          <w:p>
            <w:pPr>
              <w:spacing w:before="0" w:after="40" w:line="240" w:lineRule="auto"/>
            </w:pPr>
            <w:r>
              <w:rPr>
                <w:rFonts w:ascii="Times New Roman" w:hAnsi="Times New Roman" w:cs="Times New Roman"/>
                <w:b w:val="false"/>
                <w:bCs w:val="false"/>
                <w:sz w:val="20"/>
                <w:szCs w:val="20"/>
              </w:rPr>
              <w:t xml:space="preserve">- Demande : « Donne l'entrée correspondante. »</w:t>
            </w:r>
          </w:p>
          <w:p>
            <w:pPr>
              <w:spacing w:before="0" w:after="40" w:line="240" w:lineRule="auto"/>
            </w:pPr>
            <w:r>
              <w:rPr>
                <w:rFonts w:ascii="Times New Roman" w:hAnsi="Times New Roman" w:cs="Times New Roman"/>
                <w:b w:val="false"/>
                <w:bCs w:val="false"/>
                <w:sz w:val="20"/>
                <w:szCs w:val="20"/>
              </w:rPr>
              <w:t xml:space="preserve">- Demande : « Interprète ces indices : pourquoi l'auteur les emploie-t-il ? »</w:t>
            </w:r>
          </w:p>
          <w:p>
            <w:pPr>
              <w:spacing w:before="0" w:after="40" w:line="240" w:lineRule="auto"/>
            </w:pPr>
            <w:r>
              <w:rPr>
                <w:rFonts w:ascii="Times New Roman" w:hAnsi="Times New Roman" w:cs="Times New Roman"/>
                <w:b w:val="false"/>
                <w:bCs w:val="false"/>
                <w:sz w:val="20"/>
                <w:szCs w:val="20"/>
              </w:rPr>
              <w:t xml:space="preserve">- Demande : « Relève dans le texte les indices concernant les outils grammaticaux pertinents. »</w:t>
            </w:r>
          </w:p>
          <w:p>
            <w:pPr>
              <w:spacing w:before="0" w:after="40" w:line="240" w:lineRule="auto"/>
            </w:pPr>
            <w:r>
              <w:rPr>
                <w:rFonts w:ascii="Times New Roman" w:hAnsi="Times New Roman" w:cs="Times New Roman"/>
                <w:b w:val="false"/>
                <w:bCs w:val="false"/>
                <w:sz w:val="20"/>
                <w:szCs w:val="20"/>
              </w:rPr>
              <w:t xml:space="preserve">- Demande : « Nomme ces procédés et justifie leur emploi. »</w:t>
            </w:r>
          </w:p>
          <w:p>
            <w:pPr>
              <w:spacing w:before="0" w:after="40" w:line="240" w:lineRule="auto"/>
            </w:pPr>
            <w:r>
              <w:rPr>
                <w:rFonts w:ascii="Times New Roman" w:hAnsi="Times New Roman" w:cs="Times New Roman"/>
                <w:b w:val="false"/>
                <w:bCs w:val="false"/>
                <w:sz w:val="20"/>
                <w:szCs w:val="20"/>
              </w:rPr>
              <w:t xml:space="preserve">- Demande : « Donne l'entrée correspondante. »</w:t>
            </w:r>
          </w:p>
          <w:p>
            <w:pPr>
              <w:spacing w:before="0" w:after="40" w:line="240" w:lineRule="auto"/>
            </w:pPr>
            <w:r>
              <w:rPr>
                <w:rFonts w:ascii="Times New Roman" w:hAnsi="Times New Roman" w:cs="Times New Roman"/>
                <w:b w:val="false"/>
                <w:bCs w:val="false"/>
                <w:sz w:val="20"/>
                <w:szCs w:val="20"/>
              </w:rPr>
              <w:t xml:space="preserve">- Demande : « Interprète ces indices : pourquoi l'auteur les emploie-t-il ? »</w:t>
            </w:r>
          </w:p>
          <w:p>
            <w:pPr>
              <w:spacing w:before="0" w:after="40" w:line="240" w:lineRule="auto"/>
            </w:pPr>
            <w:r>
              <w:rPr>
                <w:rFonts w:ascii="Times New Roman" w:hAnsi="Times New Roman" w:cs="Times New Roman"/>
                <w:b w:val="false"/>
                <w:bCs w:val="false"/>
                <w:sz w:val="20"/>
                <w:szCs w:val="20"/>
              </w:rPr>
              <w:t xml:space="preserve">- Annonce l'axe de lecture 2 : le thème du conflit entre conviction et obéissance.</w:t>
            </w:r>
          </w:p>
          <w:p>
            <w:pPr>
              <w:spacing w:before="0" w:after="40" w:line="240" w:lineRule="auto"/>
            </w:pPr>
            <w:r>
              <w:rPr>
                <w:rFonts w:ascii="Times New Roman" w:hAnsi="Times New Roman" w:cs="Times New Roman"/>
                <w:b w:val="false"/>
                <w:bCs w:val="false"/>
                <w:sz w:val="20"/>
                <w:szCs w:val="20"/>
              </w:rPr>
              <w:t xml:space="preserve">- Demande : « Relève dans le texte les indices concernant les indices lexicaux pertinents. »</w:t>
            </w:r>
          </w:p>
          <w:p>
            <w:pPr>
              <w:spacing w:before="0" w:after="40" w:line="240" w:lineRule="auto"/>
            </w:pPr>
            <w:r>
              <w:rPr>
                <w:rFonts w:ascii="Times New Roman" w:hAnsi="Times New Roman" w:cs="Times New Roman"/>
                <w:b w:val="false"/>
                <w:bCs w:val="false"/>
                <w:sz w:val="20"/>
                <w:szCs w:val="20"/>
              </w:rPr>
              <w:t xml:space="preserve">- Demande : « Nomme ces procédés et justifie leur emploi. »</w:t>
            </w:r>
          </w:p>
          <w:p>
            <w:pPr>
              <w:spacing w:before="0" w:after="40" w:line="240" w:lineRule="auto"/>
            </w:pPr>
            <w:r>
              <w:rPr>
                <w:rFonts w:ascii="Times New Roman" w:hAnsi="Times New Roman" w:cs="Times New Roman"/>
                <w:b w:val="false"/>
                <w:bCs w:val="false"/>
                <w:sz w:val="20"/>
                <w:szCs w:val="20"/>
              </w:rPr>
              <w:t xml:space="preserve">- Demande : « Donne l'entrée correspondante. »</w:t>
            </w:r>
          </w:p>
          <w:p>
            <w:pPr>
              <w:spacing w:before="0" w:after="40" w:line="240" w:lineRule="auto"/>
            </w:pPr>
            <w:r>
              <w:rPr>
                <w:rFonts w:ascii="Times New Roman" w:hAnsi="Times New Roman" w:cs="Times New Roman"/>
                <w:b w:val="false"/>
                <w:bCs w:val="false"/>
                <w:sz w:val="20"/>
                <w:szCs w:val="20"/>
              </w:rPr>
              <w:t xml:space="preserve">- Demande : « Interprète ces indices : pourquoi l'auteur les emploie-t-il ? »</w:t>
            </w:r>
          </w:p>
          <w:p>
            <w:pPr>
              <w:spacing w:before="0" w:after="40" w:line="240" w:lineRule="auto"/>
            </w:pPr>
            <w:r>
              <w:rPr>
                <w:rFonts w:ascii="Times New Roman" w:hAnsi="Times New Roman" w:cs="Times New Roman"/>
                <w:b w:val="false"/>
                <w:bCs w:val="false"/>
                <w:sz w:val="20"/>
                <w:szCs w:val="20"/>
              </w:rPr>
              <w:t xml:space="preserve">- Annonce que la deuxième entrée de l'axe 2 est donnée en situation d'évaluation.</w:t>
            </w:r>
          </w:p>
          <w:p>
            <w:pPr>
              <w:spacing w:before="0" w:after="40" w:line="240" w:lineRule="auto"/>
            </w:pPr>
            <w:r>
              <w:rPr>
                <w:rFonts w:ascii="Times New Roman" w:hAnsi="Times New Roman" w:cs="Times New Roman"/>
                <w:b w:val="false"/>
                <w:bCs w:val="false"/>
                <w:sz w:val="20"/>
                <w:szCs w:val="20"/>
              </w:rPr>
              <w:t xml:space="preserve">- Demande : « Fais le bilan : rappelle les entrées étudiées et confronte-les à l'hypothèse générale. »</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Les élèves donnent la source du passage.</w:t>
            </w:r>
          </w:p>
          <w:p>
            <w:pPr>
              <w:spacing w:before="0" w:after="40" w:line="240" w:lineRule="auto"/>
            </w:pPr>
            <w:r>
              <w:rPr>
                <w:rFonts w:ascii="Times New Roman" w:hAnsi="Times New Roman" w:cs="Times New Roman"/>
                <w:b w:val="false"/>
                <w:bCs w:val="false"/>
                <w:sz w:val="20"/>
                <w:szCs w:val="20"/>
              </w:rPr>
              <w:t xml:space="preserve">- Les élèves formulent des hypothèses de lecture.</w:t>
            </w:r>
          </w:p>
          <w:p>
            <w:pPr>
              <w:spacing w:before="0" w:after="40" w:line="240" w:lineRule="auto"/>
            </w:pPr>
            <w:r>
              <w:rPr>
                <w:rFonts w:ascii="Times New Roman" w:hAnsi="Times New Roman" w:cs="Times New Roman"/>
                <w:b w:val="false"/>
                <w:bCs w:val="false"/>
                <w:sz w:val="20"/>
                <w:szCs w:val="20"/>
              </w:rPr>
              <w:t xml:space="preserve">- Les élèves lisent en silence, comparent avec leur première idée, puis écoutent la lecture magistrale.</w:t>
            </w:r>
          </w:p>
          <w:p>
            <w:pPr>
              <w:spacing w:before="0" w:after="40" w:line="240" w:lineRule="auto"/>
            </w:pPr>
            <w:r>
              <w:rPr>
                <w:rFonts w:ascii="Times New Roman" w:hAnsi="Times New Roman" w:cs="Times New Roman"/>
                <w:b w:val="false"/>
                <w:bCs w:val="false"/>
                <w:sz w:val="20"/>
                <w:szCs w:val="20"/>
              </w:rPr>
              <w:t xml:space="preserve">- Les élèves formulent l'hypothèse générale : Il s'agit d'un extrait dramatique qui met en scène le conflit entre une décision personnelle et la règle collective.</w:t>
            </w:r>
          </w:p>
          <w:p>
            <w:pPr>
              <w:spacing w:before="0" w:after="40" w:line="240" w:lineRule="auto"/>
            </w:pPr>
            <w:r>
              <w:rPr>
                <w:rFonts w:ascii="Times New Roman" w:hAnsi="Times New Roman" w:cs="Times New Roman"/>
                <w:b w:val="false"/>
                <w:bCs w:val="false"/>
                <w:sz w:val="20"/>
                <w:szCs w:val="20"/>
              </w:rPr>
              <w:t xml:space="preserve">- Les élèves relèvent : « PERSONNAGE A. — », « PERSONNAGE B. — », alternance des répliques.</w:t>
            </w:r>
          </w:p>
          <w:p>
            <w:pPr>
              <w:spacing w:before="0" w:after="40" w:line="240" w:lineRule="auto"/>
            </w:pPr>
            <w:r>
              <w:rPr>
                <w:rFonts w:ascii="Times New Roman" w:hAnsi="Times New Roman" w:cs="Times New Roman"/>
                <w:b w:val="false"/>
                <w:bCs w:val="false"/>
                <w:sz w:val="20"/>
                <w:szCs w:val="20"/>
              </w:rPr>
              <w:t xml:space="preserve">- Les élèves nomment et justifient : La présentation en répliques et l'alternance des locuteurs relèvent du genre théâtral.</w:t>
            </w:r>
          </w:p>
          <w:p>
            <w:pPr>
              <w:spacing w:before="0" w:after="40" w:line="240" w:lineRule="auto"/>
            </w:pPr>
            <w:r>
              <w:rPr>
                <w:rFonts w:ascii="Times New Roman" w:hAnsi="Times New Roman" w:cs="Times New Roman"/>
                <w:b w:val="false"/>
                <w:bCs w:val="false"/>
                <w:sz w:val="20"/>
                <w:szCs w:val="20"/>
              </w:rPr>
              <w:t xml:space="preserve">- Les élèves donnent l'entrée : Le type de texte.</w:t>
            </w:r>
          </w:p>
          <w:p>
            <w:pPr>
              <w:spacing w:before="0" w:after="40" w:line="240" w:lineRule="auto"/>
            </w:pPr>
            <w:r>
              <w:rPr>
                <w:rFonts w:ascii="Times New Roman" w:hAnsi="Times New Roman" w:cs="Times New Roman"/>
                <w:b w:val="false"/>
                <w:bCs w:val="false"/>
                <w:sz w:val="20"/>
                <w:szCs w:val="20"/>
              </w:rPr>
              <w:t xml:space="preserve">- Les élèves interprètent : Le dialogue rend le conflit immédiatement visible pour le spectateur.</w:t>
            </w:r>
          </w:p>
          <w:p>
            <w:pPr>
              <w:spacing w:before="0" w:after="40" w:line="240" w:lineRule="auto"/>
            </w:pPr>
            <w:r>
              <w:rPr>
                <w:rFonts w:ascii="Times New Roman" w:hAnsi="Times New Roman" w:cs="Times New Roman"/>
                <w:b w:val="false"/>
                <w:bCs w:val="false"/>
                <w:sz w:val="20"/>
                <w:szCs w:val="20"/>
              </w:rPr>
              <w:t xml:space="preserve">- Les élèves relèvent : « J'ai pris ma décision », « je paierai », « je me serai trompée debout ».</w:t>
            </w:r>
          </w:p>
          <w:p>
            <w:pPr>
              <w:spacing w:before="0" w:after="40" w:line="240" w:lineRule="auto"/>
            </w:pPr>
            <w:r>
              <w:rPr>
                <w:rFonts w:ascii="Times New Roman" w:hAnsi="Times New Roman" w:cs="Times New Roman"/>
                <w:b w:val="false"/>
                <w:bCs w:val="false"/>
                <w:sz w:val="20"/>
                <w:szCs w:val="20"/>
              </w:rPr>
              <w:t xml:space="preserve">- Les élèves nomment et justifient : Le passé composé et le futur marquent une décision déjà prise et assumée.</w:t>
            </w:r>
          </w:p>
          <w:p>
            <w:pPr>
              <w:spacing w:before="0" w:after="40" w:line="240" w:lineRule="auto"/>
            </w:pPr>
            <w:r>
              <w:rPr>
                <w:rFonts w:ascii="Times New Roman" w:hAnsi="Times New Roman" w:cs="Times New Roman"/>
                <w:b w:val="false"/>
                <w:bCs w:val="false"/>
                <w:sz w:val="20"/>
                <w:szCs w:val="20"/>
              </w:rPr>
              <w:t xml:space="preserve">- Les élèves donnent l'entrée : Les outils grammaticaux pertinents.</w:t>
            </w:r>
          </w:p>
          <w:p>
            <w:pPr>
              <w:spacing w:before="0" w:after="40" w:line="240" w:lineRule="auto"/>
            </w:pPr>
            <w:r>
              <w:rPr>
                <w:rFonts w:ascii="Times New Roman" w:hAnsi="Times New Roman" w:cs="Times New Roman"/>
                <w:b w:val="false"/>
                <w:bCs w:val="false"/>
                <w:sz w:val="20"/>
                <w:szCs w:val="20"/>
              </w:rPr>
              <w:t xml:space="preserve">- Les élèves interprètent : Le personnage A apparaît résolu, son choix précède le dialogue.</w:t>
            </w:r>
          </w:p>
          <w:p>
            <w:pPr>
              <w:spacing w:before="0" w:after="40" w:line="240" w:lineRule="auto"/>
            </w:pPr>
            <w:r>
              <w:rPr>
                <w:rFonts w:ascii="Times New Roman" w:hAnsi="Times New Roman" w:cs="Times New Roman"/>
                <w:b w:val="false"/>
                <w:bCs w:val="false"/>
                <w:sz w:val="20"/>
                <w:szCs w:val="20"/>
              </w:rPr>
              <w:t xml:space="preserve">- Les élèves relèvent : « Le conseil a parlé », « Personne ne désobéit au conseil ».</w:t>
            </w:r>
          </w:p>
          <w:p>
            <w:pPr>
              <w:spacing w:before="0" w:after="40" w:line="240" w:lineRule="auto"/>
            </w:pPr>
            <w:r>
              <w:rPr>
                <w:rFonts w:ascii="Times New Roman" w:hAnsi="Times New Roman" w:cs="Times New Roman"/>
                <w:b w:val="false"/>
                <w:bCs w:val="false"/>
                <w:sz w:val="20"/>
                <w:szCs w:val="20"/>
              </w:rPr>
              <w:t xml:space="preserve">- Les élèves nomment et justifient : Le champ lexical de l'autorité installe la règle collective face à la conviction.</w:t>
            </w:r>
          </w:p>
          <w:p>
            <w:pPr>
              <w:spacing w:before="0" w:after="40" w:line="240" w:lineRule="auto"/>
            </w:pPr>
            <w:r>
              <w:rPr>
                <w:rFonts w:ascii="Times New Roman" w:hAnsi="Times New Roman" w:cs="Times New Roman"/>
                <w:b w:val="false"/>
                <w:bCs w:val="false"/>
                <w:sz w:val="20"/>
                <w:szCs w:val="20"/>
              </w:rPr>
              <w:t xml:space="preserve">- Les élèves donnent l'entrée : Les indices lexicaux pertinents.</w:t>
            </w:r>
          </w:p>
          <w:p>
            <w:pPr>
              <w:spacing w:before="0" w:after="40" w:line="240" w:lineRule="auto"/>
            </w:pPr>
            <w:r>
              <w:rPr>
                <w:rFonts w:ascii="Times New Roman" w:hAnsi="Times New Roman" w:cs="Times New Roman"/>
                <w:b w:val="false"/>
                <w:bCs w:val="false"/>
                <w:sz w:val="20"/>
                <w:szCs w:val="20"/>
              </w:rPr>
              <w:t xml:space="preserve">- Les élèves interprètent : La règle est présentée comme une menace plus que comme une protection.</w:t>
            </w:r>
          </w:p>
          <w:p>
            <w:pPr>
              <w:spacing w:before="0" w:after="40" w:line="240" w:lineRule="auto"/>
            </w:pPr>
            <w:r>
              <w:rPr>
                <w:rFonts w:ascii="Times New Roman" w:hAnsi="Times New Roman" w:cs="Times New Roman"/>
                <w:b w:val="false"/>
                <w:bCs w:val="false"/>
                <w:sz w:val="20"/>
                <w:szCs w:val="20"/>
              </w:rPr>
              <w:t xml:space="preserve">- Les élèves rappellent les entrées étudiées.</w:t>
            </w:r>
          </w:p>
          <w:p>
            <w:pPr>
              <w:spacing w:before="0" w:after="40" w:line="240" w:lineRule="auto"/>
            </w:pPr>
            <w:r>
              <w:rPr>
                <w:rFonts w:ascii="Times New Roman" w:hAnsi="Times New Roman" w:cs="Times New Roman"/>
                <w:b w:val="false"/>
                <w:bCs w:val="false"/>
                <w:sz w:val="20"/>
                <w:szCs w:val="20"/>
              </w:rPr>
              <w:t xml:space="preserve">- Les élèves confirment que l'hypothèse générale est vérifiée.</w:t>
            </w:r>
          </w:p>
        </w:tc>
        <w:tc>
          <w:tcPr>
            <w:tcW w:type="dxa" w:w="2142"/>
            <w:tcMar>
              <w:top w:type="dxa" w:w="80"/>
              <w:left w:type="dxa" w:w="100"/>
              <w:bottom w:type="dxa" w:w="80"/>
              <w:right w:type="dxa" w:w="100"/>
            </w:tcMar>
            <w:vAlign w:val="top"/>
          </w:tcPr>
          <w:p>
            <w:pPr>
              <w:spacing w:before="160" w:after="80" w:line="240" w:lineRule="auto"/>
            </w:pPr>
            <w:r>
              <w:rPr>
                <w:rFonts w:ascii="Times New Roman" w:hAnsi="Times New Roman" w:cs="Times New Roman"/>
                <w:b w:val="false"/>
                <w:bCs w:val="false"/>
                <w:sz w:val="20"/>
                <w:szCs w:val="20"/>
              </w:rPr>
              <w:t xml:space="preserve">I. Présentation du passage</w:t>
            </w:r>
          </w:p>
          <w:p>
            <w:pPr>
              <w:spacing w:before="0" w:after="40" w:line="240" w:lineRule="auto"/>
            </w:pPr>
            <w:r>
              <w:rPr>
                <w:rFonts w:ascii="Times New Roman" w:hAnsi="Times New Roman" w:cs="Times New Roman"/>
                <w:b w:val="false"/>
                <w:bCs w:val="false"/>
                <w:sz w:val="20"/>
                <w:szCs w:val="20"/>
              </w:rPr>
              <w:t xml:space="preserve">Hypothèse générale : Il s'agit d'un extrait dramatique qui met en scène le conflit entre une décision personnelle et la règle collective.</w:t>
            </w:r>
          </w:p>
          <w:p>
            <w:pPr>
              <w:spacing w:before="160" w:after="80" w:line="240" w:lineRule="auto"/>
            </w:pPr>
            <w:r>
              <w:rPr>
                <w:rFonts w:ascii="Times New Roman" w:hAnsi="Times New Roman" w:cs="Times New Roman"/>
                <w:b w:val="false"/>
                <w:bCs w:val="false"/>
                <w:sz w:val="20"/>
                <w:szCs w:val="20"/>
              </w:rPr>
              <w:t xml:space="preserve">II. Vérification — Axe 1 : la nature dramatique et dialoguée du passage</w:t>
            </w:r>
          </w:p>
          <w:p>
            <w:pPr>
              <w:spacing w:before="0" w:after="40" w:line="240" w:lineRule="auto"/>
            </w:pPr>
            <w:r>
              <w:rPr>
                <w:rFonts w:ascii="Times New Roman" w:hAnsi="Times New Roman" w:cs="Times New Roman"/>
                <w:b w:val="false"/>
                <w:bCs w:val="false"/>
                <w:sz w:val="20"/>
                <w:szCs w:val="20"/>
              </w:rPr>
              <w:t xml:space="preserve">Axe 1, entrée 1 : Le type de texte (voir tableau)</w:t>
            </w:r>
          </w:p>
          <w:p>
            <w:pPr>
              <w:spacing w:before="0" w:after="40" w:line="240" w:lineRule="auto"/>
            </w:pPr>
            <w:r>
              <w:rPr>
                <w:rFonts w:ascii="Times New Roman" w:hAnsi="Times New Roman" w:cs="Times New Roman"/>
                <w:b w:val="false"/>
                <w:bCs w:val="false"/>
                <w:sz w:val="20"/>
                <w:szCs w:val="20"/>
              </w:rPr>
              <w:t xml:space="preserve">Axe 1, entrée 2 : Les outils grammaticaux pertinents (voir tableau)</w:t>
            </w:r>
          </w:p>
          <w:p>
            <w:pPr>
              <w:spacing w:before="160" w:after="80" w:line="240" w:lineRule="auto"/>
            </w:pPr>
            <w:r>
              <w:rPr>
                <w:rFonts w:ascii="Times New Roman" w:hAnsi="Times New Roman" w:cs="Times New Roman"/>
                <w:b w:val="false"/>
                <w:bCs w:val="false"/>
                <w:sz w:val="20"/>
                <w:szCs w:val="20"/>
              </w:rPr>
              <w:t xml:space="preserve">III. Vérification — Axe 2 : le thème du conflit entre conviction et obéissance</w:t>
            </w:r>
          </w:p>
          <w:p>
            <w:pPr>
              <w:spacing w:before="0" w:after="40" w:line="240" w:lineRule="auto"/>
            </w:pPr>
            <w:r>
              <w:rPr>
                <w:rFonts w:ascii="Times New Roman" w:hAnsi="Times New Roman" w:cs="Times New Roman"/>
                <w:b w:val="false"/>
                <w:bCs w:val="false"/>
                <w:sz w:val="20"/>
                <w:szCs w:val="20"/>
              </w:rPr>
              <w:t xml:space="preserve">Axe 2, entrée 1 : Les indices lexicaux pertinents (voir tableau)</w:t>
            </w:r>
          </w:p>
          <w:p>
            <w:pPr>
              <w:spacing w:before="160" w:after="80" w:line="240" w:lineRule="auto"/>
            </w:pPr>
            <w:r>
              <w:rPr>
                <w:rFonts w:ascii="Times New Roman" w:hAnsi="Times New Roman" w:cs="Times New Roman"/>
                <w:b w:val="false"/>
                <w:bCs w:val="false"/>
                <w:sz w:val="20"/>
                <w:szCs w:val="20"/>
              </w:rPr>
              <w:t xml:space="preserve">IV. Bilan</w:t>
            </w:r>
          </w:p>
          <w:p>
            <w:pPr>
              <w:spacing w:before="0" w:after="40" w:line="240" w:lineRule="auto"/>
            </w:pPr>
            <w:r>
              <w:rPr>
                <w:rFonts w:ascii="Times New Roman" w:hAnsi="Times New Roman" w:cs="Times New Roman"/>
                <w:b w:val="false"/>
                <w:bCs w:val="false"/>
                <w:sz w:val="20"/>
                <w:szCs w:val="20"/>
              </w:rPr>
              <w:t xml:space="preserve">Les entrées étudiées confirment l'hypothèse générale : Il s'agit d'un extrait dramatique qui met en scène le conflit entre une décision personnelle et la règle collective. L'hypothèse est vérifiée.</w:t>
            </w:r>
          </w:p>
        </w:tc>
      </w:tr>
      <w:tr>
        <w:trPr>
          <w:cantSplit w:val="false"/>
          <w:tblHeader w:val="false"/>
        </w:trPr>
        <w:tc>
          <w:tcPr>
            <w:tcW w:type="dxa" w:w="1327"/>
            <w:tcMar>
              <w:top w:type="dxa" w:w="80"/>
              <w:left w:type="dxa" w:w="100"/>
              <w:bottom w:type="dxa" w:w="80"/>
              <w:right w:type="dxa" w:w="100"/>
            </w:tcMar>
            <w:vAlign w:val="top"/>
          </w:tcPr>
          <w:p>
            <w:pPr>
              <w:spacing w:before="0" w:after="40" w:line="240" w:lineRule="auto"/>
            </w:pPr>
            <w:r>
              <w:rPr>
                <w:rFonts w:ascii="Times New Roman" w:hAnsi="Times New Roman" w:cs="Times New Roman"/>
                <w:b/>
                <w:bCs/>
                <w:sz w:val="12"/>
                <w:szCs w:val="12"/>
              </w:rPr>
              <w:t xml:space="preserve">ÉVALUATION</w:t>
            </w:r>
          </w:p>
          <w:p>
            <w:pPr>
              <w:spacing w:before="0" w:after="40" w:line="240" w:lineRule="auto"/>
            </w:pPr>
            <w:r>
              <w:rPr>
                <w:rFonts w:ascii="Times New Roman" w:hAnsi="Times New Roman" w:cs="Times New Roman"/>
                <w:b/>
                <w:bCs/>
                <w:sz w:val="20"/>
                <w:szCs w:val="20"/>
              </w:rPr>
              <w:t xml:space="preserve">(10 mn)</w:t>
            </w:r>
          </w:p>
        </w:tc>
        <w:tc>
          <w:tcPr>
            <w:tcW w:type="dxa" w:w="1429"/>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Travail individuel</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Distribue la feuille d'évaluation</w:t>
            </w:r>
          </w:p>
          <w:p>
            <w:pPr>
              <w:spacing w:before="0" w:after="40" w:line="240" w:lineRule="auto"/>
            </w:pPr>
            <w:r>
              <w:rPr>
                <w:rFonts w:ascii="Times New Roman" w:hAnsi="Times New Roman" w:cs="Times New Roman"/>
                <w:b w:val="false"/>
                <w:bCs w:val="false"/>
                <w:sz w:val="20"/>
                <w:szCs w:val="20"/>
              </w:rPr>
              <w:t xml:space="preserve">- Lit les consignes à voix haute</w:t>
            </w:r>
          </w:p>
          <w:p>
            <w:pPr>
              <w:spacing w:before="0" w:after="40" w:line="240" w:lineRule="auto"/>
            </w:pPr>
            <w:r>
              <w:rPr>
                <w:rFonts w:ascii="Times New Roman" w:hAnsi="Times New Roman" w:cs="Times New Roman"/>
                <w:b w:val="false"/>
                <w:bCs w:val="false"/>
                <w:sz w:val="20"/>
                <w:szCs w:val="20"/>
              </w:rPr>
              <w:t xml:space="preserve">- Accorde 10 minutes pour traiter toutes les consignes</w:t>
            </w:r>
          </w:p>
          <w:p>
            <w:pPr>
              <w:spacing w:before="0" w:after="40" w:line="240" w:lineRule="auto"/>
            </w:pPr>
            <w:r>
              <w:rPr>
                <w:rFonts w:ascii="Times New Roman" w:hAnsi="Times New Roman" w:cs="Times New Roman"/>
                <w:b w:val="false"/>
                <w:bCs w:val="false"/>
                <w:sz w:val="20"/>
                <w:szCs w:val="20"/>
              </w:rPr>
              <w:t xml:space="preserve">- Circule dans la classe et observe le travail de chaque élève</w:t>
            </w:r>
          </w:p>
          <w:p>
            <w:pPr>
              <w:spacing w:before="0" w:after="40" w:line="240" w:lineRule="auto"/>
            </w:pPr>
            <w:r>
              <w:rPr>
                <w:rFonts w:ascii="Times New Roman" w:hAnsi="Times New Roman" w:cs="Times New Roman"/>
                <w:b w:val="false"/>
                <w:bCs w:val="false"/>
                <w:sz w:val="20"/>
                <w:szCs w:val="20"/>
              </w:rPr>
              <w:t xml:space="preserve">- Ramasse les copies à la fin du temps imparti</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Reçoivent la feuille d'évaluation</w:t>
            </w:r>
          </w:p>
          <w:p>
            <w:pPr>
              <w:spacing w:before="0" w:after="40" w:line="240" w:lineRule="auto"/>
            </w:pPr>
            <w:r>
              <w:rPr>
                <w:rFonts w:ascii="Times New Roman" w:hAnsi="Times New Roman" w:cs="Times New Roman"/>
                <w:b w:val="false"/>
                <w:bCs w:val="false"/>
                <w:sz w:val="20"/>
                <w:szCs w:val="20"/>
              </w:rPr>
              <w:t xml:space="preserve">- Écoutent les consignes</w:t>
            </w:r>
          </w:p>
          <w:p>
            <w:pPr>
              <w:spacing w:before="0" w:after="40" w:line="240" w:lineRule="auto"/>
            </w:pPr>
            <w:r>
              <w:rPr>
                <w:rFonts w:ascii="Times New Roman" w:hAnsi="Times New Roman" w:cs="Times New Roman"/>
                <w:b w:val="false"/>
                <w:bCs w:val="false"/>
                <w:sz w:val="20"/>
                <w:szCs w:val="20"/>
              </w:rPr>
              <w:t xml:space="preserve">- Répondent individuellement aux consignes</w:t>
            </w:r>
          </w:p>
          <w:p>
            <w:pPr>
              <w:spacing w:before="0" w:after="40" w:line="240" w:lineRule="auto"/>
            </w:pPr>
            <w:r>
              <w:rPr>
                <w:rFonts w:ascii="Times New Roman" w:hAnsi="Times New Roman" w:cs="Times New Roman"/>
                <w:b w:val="false"/>
                <w:bCs w:val="false"/>
                <w:sz w:val="20"/>
                <w:szCs w:val="20"/>
              </w:rPr>
              <w:t xml:space="preserve">- Posent des questions si une consigne n'est pas claire</w:t>
            </w:r>
          </w:p>
          <w:p>
            <w:pPr>
              <w:spacing w:before="0" w:after="40" w:line="240" w:lineRule="auto"/>
            </w:pPr>
            <w:r>
              <w:rPr>
                <w:rFonts w:ascii="Times New Roman" w:hAnsi="Times New Roman" w:cs="Times New Roman"/>
                <w:b w:val="false"/>
                <w:bCs w:val="false"/>
                <w:sz w:val="20"/>
                <w:szCs w:val="20"/>
              </w:rPr>
              <w:t xml:space="preserve">- Rendent leur copie à la fin du temps imparti</w:t>
            </w:r>
          </w:p>
        </w:tc>
        <w:tc>
          <w:tcPr>
            <w:tcW w:type="dxa" w:w="214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ÉVALUATION</w:t>
            </w:r>
          </w:p>
          <w:p>
            <w:pPr>
              <w:spacing w:before="0" w:after="40" w:line="240" w:lineRule="auto"/>
            </w:pPr>
            <w:r>
              <w:rPr>
                <w:rFonts w:ascii="Times New Roman" w:hAnsi="Times New Roman" w:cs="Times New Roman"/>
                <w:b w:val="false"/>
                <w:bCs w:val="false"/>
                <w:sz w:val="20"/>
                <w:szCs w:val="20"/>
              </w:rPr>
              <w:t xml:space="preserve">Consigne 1 (Niveau N1/N2 : Identifier)</w:t>
            </w:r>
          </w:p>
          <w:p>
            <w:pPr>
              <w:spacing w:before="0" w:after="40" w:line="240" w:lineRule="auto"/>
            </w:pPr>
            <w:r>
              <w:rPr>
                <w:rFonts w:ascii="Times New Roman" w:hAnsi="Times New Roman" w:cs="Times New Roman"/>
                <w:b w:val="false"/>
                <w:bCs w:val="false"/>
                <w:sz w:val="20"/>
                <w:szCs w:val="20"/>
              </w:rPr>
              <w:t xml:space="preserve">Identifie dans le passage les indices concernant les personnages et les thèmes majeurs.</w:t>
            </w:r>
          </w:p>
          <w:p>
            <w:pPr>
              <w:spacing w:before="0" w:after="40" w:line="240" w:lineRule="auto"/>
            </w:pPr>
            <w:r>
              <w:rPr>
                <w:rFonts w:ascii="Times New Roman" w:hAnsi="Times New Roman" w:cs="Times New Roman"/>
                <w:b w:val="false"/>
                <w:bCs w:val="false"/>
                <w:sz w:val="20"/>
                <w:szCs w:val="20"/>
              </w:rPr>
              <w:t xml:space="preserve">Extrait : voir annexe</w:t>
            </w:r>
          </w:p>
          <w:p>
            <w:pPr>
              <w:spacing w:before="0" w:after="40" w:line="240" w:lineRule="auto"/>
            </w:pPr>
            <w:r>
              <w:rPr>
                <w:rFonts w:ascii="Times New Roman" w:hAnsi="Times New Roman" w:cs="Times New Roman"/>
                <w:b w:val="false"/>
                <w:bCs w:val="false"/>
                <w:sz w:val="20"/>
                <w:szCs w:val="20"/>
              </w:rPr>
              <w:t xml:space="preserve">Réponse attendue : « Tu es seule contre tous », « Je n'en ai pas la force »</w:t>
            </w:r>
          </w:p>
          <w:p>
            <w:pPr>
              <w:spacing w:before="0" w:after="40" w:line="240" w:lineRule="auto"/>
            </w:pPr>
            <w:r>
              <w:rPr>
                <w:rFonts w:ascii="Times New Roman" w:hAnsi="Times New Roman" w:cs="Times New Roman"/>
                <w:b w:val="false"/>
                <w:bCs w:val="false"/>
                <w:sz w:val="20"/>
                <w:szCs w:val="20"/>
              </w:rPr>
              <w:t xml:space="preserve">Consigne 2 (Niveau N3 : Analyser)</w:t>
            </w:r>
          </w:p>
          <w:p>
            <w:pPr>
              <w:spacing w:before="0" w:after="40" w:line="240" w:lineRule="auto"/>
            </w:pPr>
            <w:r>
              <w:rPr>
                <w:rFonts w:ascii="Times New Roman" w:hAnsi="Times New Roman" w:cs="Times New Roman"/>
                <w:b w:val="false"/>
                <w:bCs w:val="false"/>
                <w:sz w:val="20"/>
                <w:szCs w:val="20"/>
              </w:rPr>
              <w:t xml:space="preserve">Analyse les procédés relevés et justifie leur emploi dans le passage.</w:t>
            </w:r>
          </w:p>
          <w:p>
            <w:pPr>
              <w:spacing w:before="0" w:after="40" w:line="240" w:lineRule="auto"/>
            </w:pPr>
            <w:r>
              <w:rPr>
                <w:rFonts w:ascii="Times New Roman" w:hAnsi="Times New Roman" w:cs="Times New Roman"/>
                <w:b w:val="false"/>
                <w:bCs w:val="false"/>
                <w:sz w:val="20"/>
                <w:szCs w:val="20"/>
              </w:rPr>
              <w:t xml:space="preserve">Extrait : voir annexe</w:t>
            </w:r>
          </w:p>
          <w:p>
            <w:pPr>
              <w:spacing w:before="0" w:after="40" w:line="240" w:lineRule="auto"/>
            </w:pPr>
            <w:r>
              <w:rPr>
                <w:rFonts w:ascii="Times New Roman" w:hAnsi="Times New Roman" w:cs="Times New Roman"/>
                <w:b w:val="false"/>
                <w:bCs w:val="false"/>
                <w:sz w:val="20"/>
                <w:szCs w:val="20"/>
              </w:rPr>
              <w:t xml:space="preserve">Réponse attendue : L'opposition entre les deux personnages souligne deux attitudes face à la même règle.</w:t>
            </w:r>
          </w:p>
          <w:p>
            <w:pPr>
              <w:spacing w:before="0" w:after="40" w:line="240" w:lineRule="auto"/>
            </w:pPr>
            <w:r>
              <w:rPr>
                <w:rFonts w:ascii="Times New Roman" w:hAnsi="Times New Roman" w:cs="Times New Roman"/>
                <w:b w:val="false"/>
                <w:bCs w:val="false"/>
                <w:sz w:val="20"/>
                <w:szCs w:val="20"/>
              </w:rPr>
              <w:t xml:space="preserve">Consigne 3 (Niveau N4 : Interpréter)</w:t>
            </w:r>
          </w:p>
          <w:p>
            <w:pPr>
              <w:spacing w:before="0" w:after="40" w:line="240" w:lineRule="auto"/>
            </w:pPr>
            <w:r>
              <w:rPr>
                <w:rFonts w:ascii="Times New Roman" w:hAnsi="Times New Roman" w:cs="Times New Roman"/>
                <w:b w:val="false"/>
                <w:bCs w:val="false"/>
                <w:sz w:val="20"/>
                <w:szCs w:val="20"/>
              </w:rPr>
              <w:t xml:space="preserve">Interprète ces indices en déterminant l'entrée à laquelle ils correspondent, en une phrase.</w:t>
            </w:r>
          </w:p>
          <w:p>
            <w:pPr>
              <w:spacing w:before="0" w:after="40" w:line="240" w:lineRule="auto"/>
            </w:pPr>
            <w:r>
              <w:rPr>
                <w:rFonts w:ascii="Times New Roman" w:hAnsi="Times New Roman" w:cs="Times New Roman"/>
                <w:b w:val="false"/>
                <w:bCs w:val="false"/>
                <w:sz w:val="20"/>
                <w:szCs w:val="20"/>
              </w:rPr>
              <w:t xml:space="preserve">Extrait : voir annexe</w:t>
            </w:r>
          </w:p>
          <w:p>
            <w:pPr>
              <w:spacing w:before="0" w:after="40" w:line="240" w:lineRule="auto"/>
            </w:pPr>
            <w:r>
              <w:rPr>
                <w:rFonts w:ascii="Times New Roman" w:hAnsi="Times New Roman" w:cs="Times New Roman"/>
                <w:b w:val="false"/>
                <w:bCs w:val="false"/>
                <w:sz w:val="20"/>
                <w:szCs w:val="20"/>
              </w:rPr>
              <w:t xml:space="preserve">Réponse attendue : Entrée : Les personnages et les thèmes majeurs. Le passage oppose le courage de la désobéissance à la prudence de la soumission.</w:t>
            </w:r>
          </w:p>
        </w:tc>
      </w:tr>
    </w:tbl>
    <w:p>
      <w:pPr>
        <w:spacing w:before="0" w:after="40" w:line="240" w:lineRule="auto"/>
      </w:pPr>
    </w:p>
    <w:tbl>
      <w:tblPr>
        <w:tblW w:type="dxa" w:w="10206"/>
        <w:tblInd w:type="dxa" w:w="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429"/>
        <w:gridCol w:w="1633"/>
        <w:gridCol w:w="2449"/>
        <w:gridCol w:w="2347"/>
        <w:gridCol w:w="2348"/>
      </w:tblGrid>
      <w:tr>
        <w:trPr>
          <w:cantSplit/>
          <w:tblHeader/>
        </w:trPr>
        <w:tc>
          <w:tcPr>
            <w:tcW w:type="dxa" w:w="1429"/>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Axes</w:t>
            </w:r>
          </w:p>
        </w:tc>
        <w:tc>
          <w:tcPr>
            <w:tcW w:type="dxa" w:w="1633"/>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Entrées</w:t>
            </w:r>
          </w:p>
        </w:tc>
        <w:tc>
          <w:tcPr>
            <w:tcW w:type="dxa" w:w="2449"/>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Indices textuels</w:t>
            </w:r>
          </w:p>
        </w:tc>
        <w:tc>
          <w:tcPr>
            <w:tcW w:type="dxa" w:w="2347"/>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Analyse</w:t>
            </w:r>
          </w:p>
        </w:tc>
        <w:tc>
          <w:tcPr>
            <w:tcW w:type="dxa" w:w="2348"/>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Interprétation</w:t>
            </w:r>
          </w:p>
        </w:tc>
      </w:tr>
      <w:tr>
        <w:trPr>
          <w:cantSplit/>
          <w:tblHeader w:val="false"/>
        </w:trPr>
        <w:tc>
          <w:tcPr>
            <w:tcW w:type="dxa" w:w="1429"/>
            <w:vMerge w:val="restart"/>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sz w:val="20"/>
                <w:szCs w:val="20"/>
              </w:rPr>
              <w:t xml:space="preserve">Axe 1 : la nature dramatique et dialoguée du passage</w:t>
            </w:r>
          </w:p>
        </w:tc>
        <w:tc>
          <w:tcPr>
            <w:tcW w:type="dxa" w:w="1633"/>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Le type de texte</w:t>
            </w:r>
          </w:p>
        </w:tc>
        <w:tc>
          <w:tcPr>
            <w:tcW w:type="dxa" w:w="2449"/>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 PERSONNAGE A. — », « PERSONNAGE B. — », alternance des répliques</w:t>
            </w:r>
          </w:p>
        </w:tc>
        <w:tc>
          <w:tcPr>
            <w:tcW w:type="dxa" w:w="2347"/>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La présentation en répliques et l'alternance des locuteurs relèvent du genre théâtral.</w:t>
            </w:r>
          </w:p>
        </w:tc>
        <w:tc>
          <w:tcPr>
            <w:tcW w:type="dxa" w:w="2348"/>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Le dialogue rend le conflit immédiatement visible pour le spectateur.</w:t>
            </w:r>
          </w:p>
        </w:tc>
      </w:tr>
      <w:tr>
        <w:trPr>
          <w:cantSplit/>
          <w:tblHeader w:val="false"/>
        </w:trPr>
        <w:tc>
          <w:tcPr>
            <w:vMerge w:val="continue"/>
          </w:tcPr>
          <w:p>
            <w:pPr>
              <w:spacing w:before="0" w:after="40" w:line="240" w:lineRule="auto"/>
            </w:pPr>
          </w:p>
        </w:tc>
        <w:tc>
          <w:tcPr>
            <w:tcW w:type="dxa" w:w="1633"/>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Les outils grammaticaux pertinents</w:t>
            </w:r>
          </w:p>
        </w:tc>
        <w:tc>
          <w:tcPr>
            <w:tcW w:type="dxa" w:w="2449"/>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J'ai pris ma décision », « je paierai », « je me serai trompée debout »</w:t>
            </w:r>
          </w:p>
        </w:tc>
        <w:tc>
          <w:tcPr>
            <w:tcW w:type="dxa" w:w="2347"/>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 passé composé et le futur marquent une décision déjà prise et assumée.</w:t>
            </w:r>
          </w:p>
        </w:tc>
        <w:tc>
          <w:tcPr>
            <w:tcW w:type="dxa" w:w="2348"/>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 personnage A apparaît résolu, son choix précède le dialogue.</w:t>
            </w:r>
          </w:p>
        </w:tc>
      </w:tr>
      <w:tr>
        <w:trPr>
          <w:cantSplit/>
          <w:tblHeader w:val="false"/>
        </w:trPr>
        <w:tc>
          <w:tcPr>
            <w:tcW w:type="dxa" w:w="1429"/>
            <w:vMerge w:val="restart"/>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sz w:val="20"/>
                <w:szCs w:val="20"/>
              </w:rPr>
              <w:t xml:space="preserve">Axe 2 : le thème du conflit entre conviction et obéissance</w:t>
            </w:r>
          </w:p>
        </w:tc>
        <w:tc>
          <w:tcPr>
            <w:tcW w:type="dxa" w:w="1633"/>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Les indices lexicaux pertinents</w:t>
            </w:r>
          </w:p>
        </w:tc>
        <w:tc>
          <w:tcPr>
            <w:tcW w:type="dxa" w:w="2449"/>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 Le conseil a parlé », « Personne ne désobéit au conseil »</w:t>
            </w:r>
          </w:p>
        </w:tc>
        <w:tc>
          <w:tcPr>
            <w:tcW w:type="dxa" w:w="2347"/>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Le champ lexical de l'autorité installe la règle collective face à la conviction.</w:t>
            </w:r>
          </w:p>
        </w:tc>
        <w:tc>
          <w:tcPr>
            <w:tcW w:type="dxa" w:w="2348"/>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La règle est présentée comme une menace plus que comme une protection.</w:t>
            </w:r>
          </w:p>
        </w:tc>
      </w:tr>
      <w:tr>
        <w:trPr>
          <w:cantSplit/>
          <w:tblHeader w:val="false"/>
        </w:trPr>
        <w:tc>
          <w:tcPr>
            <w:vMerge w:val="continue"/>
          </w:tcPr>
          <w:p>
            <w:pPr>
              <w:spacing w:before="0" w:after="40" w:line="240" w:lineRule="auto"/>
            </w:pPr>
          </w:p>
        </w:tc>
        <w:tc>
          <w:tcPr>
            <w:tcW w:type="dxa" w:w="1633"/>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Les personnages et les thèmes majeurs</w:t>
            </w:r>
          </w:p>
        </w:tc>
        <w:tc>
          <w:tcPr>
            <w:tcW w:type="dxa" w:w="2449"/>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Tu es seule contre tous », « Je n'en ai pas la force »</w:t>
            </w:r>
          </w:p>
        </w:tc>
        <w:tc>
          <w:tcPr>
            <w:tcW w:type="dxa" w:w="2347"/>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L'opposition entre les deux personnages souligne deux attitudes face à la même règle.</w:t>
            </w:r>
          </w:p>
        </w:tc>
        <w:tc>
          <w:tcPr>
            <w:tcW w:type="dxa" w:w="2348"/>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 passage oppose le courage de la désobéissance à la prudence de la soumission.</w:t>
            </w:r>
          </w:p>
        </w:tc>
      </w:tr>
    </w:tbl>
    <w:p>
      <w:pPr>
        <w:spacing w:before="0" w:after="40" w:line="240" w:lineRule="auto"/>
      </w:pPr>
    </w:p>
    <w:p>
      <w:pPr>
        <w:pageBreakBefore/>
        <w:spacing w:before="0" w:after="120" w:line="240" w:lineRule="auto"/>
      </w:pPr>
      <w:r>
        <w:rPr>
          <w:rFonts w:ascii="Times New Roman" w:hAnsi="Times New Roman" w:cs="Times New Roman"/>
          <w:b/>
          <w:bCs/>
          <w:sz w:val="28"/>
          <w:szCs w:val="28"/>
        </w:rPr>
        <w:t xml:space="preserve">Feuille d'évaluation — extrait</w:t>
      </w:r>
    </w:p>
    <w:p>
      <w:pPr>
        <w:spacing w:before="0" w:after="120" w:line="240" w:lineRule="auto"/>
      </w:pPr>
      <w:r>
        <w:rPr>
          <w:rFonts w:ascii="Times New Roman" w:hAnsi="Times New Roman" w:cs="Times New Roman"/>
          <w:i/>
          <w:iCs/>
          <w:sz w:val="22"/>
          <w:szCs w:val="22"/>
        </w:rPr>
        <w:t xml:space="preserve">Œuvre de test, Auteur de test, Éditions de test — pages 23 à 25</w:t>
      </w:r>
    </w:p>
    <w:p>
      <w:pPr>
        <w:spacing w:before="0" w:after="120" w:line="240" w:lineRule="auto"/>
      </w:pPr>
      <w:r>
        <w:rPr>
          <w:rFonts w:ascii="Times New Roman" w:hAnsi="Times New Roman" w:cs="Times New Roman"/>
          <w:sz w:val="24"/>
          <w:szCs w:val="24"/>
        </w:rPr>
        <w:t xml:space="preserve">PERSONNAGE A. — J'ai pris ma décision pendant la nuit, et le jour qui se lève ne la changera pas.</w:t>
      </w:r>
    </w:p>
    <w:p>
      <w:pPr>
        <w:spacing w:before="0" w:after="120" w:line="240" w:lineRule="auto"/>
      </w:pPr>
      <w:r>
        <w:rPr>
          <w:rFonts w:ascii="Times New Roman" w:hAnsi="Times New Roman" w:cs="Times New Roman"/>
          <w:sz w:val="24"/>
          <w:szCs w:val="24"/>
        </w:rPr>
        <w:t xml:space="preserve">PERSONNAGE B. — Tu parles comme si le danger n'existait pas. Prends au moins le temps de réfléchir.</w:t>
      </w:r>
    </w:p>
    <w:p>
      <w:pPr>
        <w:spacing w:before="0" w:after="120" w:line="240" w:lineRule="auto"/>
      </w:pPr>
      <w:r>
        <w:rPr>
          <w:rFonts w:ascii="Times New Roman" w:hAnsi="Times New Roman" w:cs="Times New Roman"/>
          <w:sz w:val="24"/>
          <w:szCs w:val="24"/>
        </w:rPr>
        <w:t xml:space="preserve">PERSONNAGE A. — J'ai réfléchi jusqu'à l'aube. Chaque heure passée rendait mon choix plus clair.</w:t>
      </w:r>
    </w:p>
    <w:p>
      <w:pPr>
        <w:spacing w:before="0" w:after="120" w:line="240" w:lineRule="auto"/>
      </w:pPr>
      <w:r>
        <w:rPr>
          <w:rFonts w:ascii="Times New Roman" w:hAnsi="Times New Roman" w:cs="Times New Roman"/>
          <w:sz w:val="24"/>
          <w:szCs w:val="24"/>
        </w:rPr>
        <w:t xml:space="preserve">PERSONNAGE B. — Pense à ceux qui restent. Pense à la maison, au village, à tout ce que nous avons construit.</w:t>
      </w:r>
    </w:p>
    <w:p>
      <w:pPr>
        <w:spacing w:before="0" w:after="120" w:line="240" w:lineRule="auto"/>
      </w:pPr>
      <w:r>
        <w:rPr>
          <w:rFonts w:ascii="Times New Roman" w:hAnsi="Times New Roman" w:cs="Times New Roman"/>
          <w:sz w:val="24"/>
          <w:szCs w:val="24"/>
        </w:rPr>
        <w:t xml:space="preserve">PERSONNAGE A. — C'est justement pour eux que je dois agir. Se taire aujourd'hui serait les trahir.</w:t>
      </w:r>
    </w:p>
    <w:p>
      <w:pPr>
        <w:spacing w:before="0" w:after="120" w:line="240" w:lineRule="auto"/>
      </w:pPr>
      <w:r>
        <w:rPr>
          <w:rFonts w:ascii="Times New Roman" w:hAnsi="Times New Roman" w:cs="Times New Roman"/>
          <w:sz w:val="24"/>
          <w:szCs w:val="24"/>
        </w:rPr>
        <w:t xml:space="preserve">PERSONNAGE B. — Le conseil a parlé. Personne ne désobéit au conseil sans en payer le prix.</w:t>
      </w:r>
    </w:p>
    <w:p>
      <w:pPr>
        <w:spacing w:before="0" w:after="120" w:line="240" w:lineRule="auto"/>
      </w:pPr>
      <w:r>
        <w:rPr>
          <w:rFonts w:ascii="Times New Roman" w:hAnsi="Times New Roman" w:cs="Times New Roman"/>
          <w:sz w:val="24"/>
          <w:szCs w:val="24"/>
        </w:rPr>
        <w:t xml:space="preserve">PERSONNAGE A. — Alors je paierai. Phrase témoin numéro sept : une règle injuste ne mérite pas le silence.</w:t>
      </w:r>
    </w:p>
    <w:p>
      <w:pPr>
        <w:spacing w:before="0" w:after="120" w:line="240" w:lineRule="auto"/>
      </w:pPr>
      <w:r>
        <w:rPr>
          <w:rFonts w:ascii="Times New Roman" w:hAnsi="Times New Roman" w:cs="Times New Roman"/>
          <w:sz w:val="24"/>
          <w:szCs w:val="24"/>
        </w:rPr>
        <w:t xml:space="preserve">PERSONNAGE B. — Tu es seule contre tous. Même tes amis détourneront les yeux quand viendra le moment.</w:t>
      </w:r>
    </w:p>
    <w:p>
      <w:pPr>
        <w:spacing w:before="0" w:after="120" w:line="240" w:lineRule="auto"/>
      </w:pPr>
      <w:r>
        <w:rPr>
          <w:rFonts w:ascii="Times New Roman" w:hAnsi="Times New Roman" w:cs="Times New Roman"/>
          <w:sz w:val="24"/>
          <w:szCs w:val="24"/>
        </w:rPr>
        <w:t xml:space="preserve">PERSONNAGE A. — Je ne leur demande rien. Je demande seulement qu'on me laisse faire ce qui est juste.</w:t>
      </w:r>
    </w:p>
    <w:p>
      <w:pPr>
        <w:spacing w:before="0" w:after="120" w:line="240" w:lineRule="auto"/>
      </w:pPr>
      <w:r>
        <w:rPr>
          <w:rFonts w:ascii="Times New Roman" w:hAnsi="Times New Roman" w:cs="Times New Roman"/>
          <w:sz w:val="24"/>
          <w:szCs w:val="24"/>
        </w:rPr>
        <w:t xml:space="preserve">PERSONNAGE B. — Et si tu te trompais ? Si le courage n'était ici qu'un autre nom de l'orgueil ?</w:t>
      </w:r>
    </w:p>
    <w:p>
      <w:pPr>
        <w:spacing w:before="0" w:after="120" w:line="240" w:lineRule="auto"/>
      </w:pPr>
      <w:r>
        <w:rPr>
          <w:rFonts w:ascii="Times New Roman" w:hAnsi="Times New Roman" w:cs="Times New Roman"/>
          <w:sz w:val="24"/>
          <w:szCs w:val="24"/>
        </w:rPr>
        <w:t xml:space="preserve">PERSONNAGE A. — Alors je me serai trompée debout, les yeux ouverts, sans avoir menti à personne.</w:t>
      </w:r>
    </w:p>
    <w:p>
      <w:pPr>
        <w:spacing w:before="0" w:after="120" w:line="240" w:lineRule="auto"/>
      </w:pPr>
      <w:r>
        <w:rPr>
          <w:rFonts w:ascii="Times New Roman" w:hAnsi="Times New Roman" w:cs="Times New Roman"/>
          <w:sz w:val="24"/>
          <w:szCs w:val="24"/>
        </w:rPr>
        <w:t xml:space="preserve">PERSONNAGE B. — Je ne peux pas te suivre sur ce chemin. Je n'en ai pas la force.</w:t>
      </w:r>
    </w:p>
    <w:p>
      <w:pPr>
        <w:spacing w:before="0" w:after="120" w:line="240" w:lineRule="auto"/>
      </w:pPr>
      <w:r>
        <w:rPr>
          <w:rFonts w:ascii="Times New Roman" w:hAnsi="Times New Roman" w:cs="Times New Roman"/>
          <w:sz w:val="24"/>
          <w:szCs w:val="24"/>
        </w:rPr>
        <w:t xml:space="preserve">PERSONNAGE A. — Je ne te le demande pas. Reste à l'abri, garde la maison, et souviens-toi de moi.</w:t>
      </w:r>
    </w:p>
    <w:p>
      <w:pPr>
        <w:spacing w:before="0" w:after="120" w:line="240" w:lineRule="auto"/>
      </w:pPr>
      <w:r>
        <w:rPr>
          <w:rFonts w:ascii="Times New Roman" w:hAnsi="Times New Roman" w:cs="Times New Roman"/>
          <w:sz w:val="24"/>
          <w:szCs w:val="24"/>
        </w:rPr>
        <w:t xml:space="preserve">PERSONNAGE B. — Tu sais bien que je me souviendrai. Mais un souvenir ne remplace pas une sœur vivante.</w:t>
      </w:r>
    </w:p>
    <w:p>
      <w:pPr>
        <w:spacing w:before="0" w:after="120" w:line="240" w:lineRule="auto"/>
      </w:pPr>
      <w:r>
        <w:rPr>
          <w:rFonts w:ascii="Times New Roman" w:hAnsi="Times New Roman" w:cs="Times New Roman"/>
          <w:sz w:val="24"/>
          <w:szCs w:val="24"/>
        </w:rPr>
        <w:t xml:space="preserve">PERSONNAGE A. — Alors fais en sorte que ce souvenir serve à quelque chose. Raconte un jour pourquoi je suis partie.</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de cours</dc:title>
  <dc:creator>ProfCI</dc:creator>
  <dc:description>Fiche de cours</dc:description>
  <cp:lastModifiedBy>Un-named</cp:lastModifiedBy>
  <cp:revision>1</cp:revision>
  <dcterms:created xsi:type="dcterms:W3CDTF">2026-10-20T04:27:40.908Z</dcterms:created>
  <dcterms:modified xsi:type="dcterms:W3CDTF">2026-10-20T04:27:40.908Z</dcterms:modified>
</cp:coreProperties>
</file>

<file path=docProps/custom.xml><?xml version="1.0" encoding="utf-8"?>
<Properties xmlns="http://schemas.openxmlformats.org/officeDocument/2006/custom-properties" xmlns:vt="http://schemas.openxmlformats.org/officeDocument/2006/docPropsVTypes"/>
</file>