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Quarterly Operating Plan</w:t>
      </w:r>
    </w:p>
    <w:p>
      <w:r>
        <w:t xml:space="preserve">Executive Summary</w:t>
      </w:r>
    </w:p>
    <w:p>
      <w:r>
        <w:t xml:space="preserve">The approved revenue target is USD 2.0 million.</w:t>
      </w:r>
    </w:p>
    <w:p>
      <w:r>
        <w:t xml:space="preserve">Scope and assumptions are governed by the supplied operating baseline.</w:t>
      </w:r>
    </w:p>
    <w:p>
      <w:r>
        <w:br w:type="page"/>
      </w:r>
    </w:p>
    <w:p>
      <w:r>
        <w:t xml:space="preserve">Delivery Plan</w:t>
      </w:r>
    </w:p>
    <w:p>
      <w:r>
        <w:t xml:space="preserve">Milestone Alpha closes on 15 October.</w:t>
      </w:r>
    </w:p>
    <w:p>
      <w:r>
        <w:t xml:space="preserve">Owners will report progress every Friday.</w:t>
      </w:r>
    </w:p>
    <w:p>
      <w:r>
        <w:br w:type="page"/>
      </w:r>
    </w:p>
    <w:p>
      <w:r>
        <w:t xml:space="preserve">Controls and Sign-off</w:t>
      </w:r>
    </w:p>
    <w:p>
      <w:r>
        <w:t xml:space="preserve">Finance validates revenue; delivery validates milestones.</w:t>
      </w:r>
    </w:p>
    <w:p>
      <w:r>
        <w:t xml:space="preserve">Final approval is recorded in the workflow receipt.</w:t>
      </w:r>
    </w:p>
    <w:sectPr/>
  </w:body>
</w:document>
</file>