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Abstract</w:t>
      </w:r>
    </w:p>
    <w:p>
      <w:r>
        <w:t xml:space="preserve">This paper synthesizes three verified sources to define a traceable computational research workflow. It argues that advance planning, maintainable software, and reusable data are complementary controls.</w:t>
      </w:r>
    </w:p>
    <w:p>
      <w:r>
        <w:t xml:space="preserve">Keywords</w:t>
      </w:r>
    </w:p>
    <w:p>
      <w:r>
        <w:t xml:space="preserve">reproducibility; preregistration; scientific software; FAIR data</w:t>
      </w:r>
    </w:p>
    <w:p>
      <w:r>
        <w:br w:type="page"/>
      </w:r>
    </w:p>
    <w:p>
      <w:r>
        <w:t xml:space="preserve">Introduction</w:t>
      </w:r>
    </w:p>
    <w:p>
      <w:r>
        <w:t xml:space="preserve">Reproducibility reforms target methods, reporting, dissemination, evaluation, and incentives (Munafò et al., 2017).</w:t>
      </w:r>
    </w:p>
    <w:p>
      <w:r>
        <w:t xml:space="preserve">Method</w:t>
      </w:r>
    </w:p>
    <w:p>
      <w:r>
        <w:t xml:space="preserve">A bounded synthesis was performed over exactly three accessible publications; no unresolved source was admitted.</w:t>
      </w:r>
    </w:p>
    <w:p>
      <w:r>
        <w:t xml:space="preserve">Results</w:t>
      </w:r>
    </w:p>
    <w:p>
      <w:r>
        <w:t xml:space="preserve">Scientific software practices improve reliability and productivity (Wilson et al., 2014). Machine-actionable findability and reuse strengthen data stewardship (Wilkinson et al., 2016).</w:t>
      </w:r>
    </w:p>
    <w:p>
      <w:r>
        <w:br w:type="page"/>
      </w:r>
    </w:p>
    <w:p>
      <w:r>
        <w:t xml:space="preserve">Discussion</w:t>
      </w:r>
    </w:p>
    <w:p>
      <w:r>
        <w:t xml:space="preserve">The evidence supports layered controls rather than a single reproducibility intervention (Munafò et al., 2017).</w:t>
      </w:r>
    </w:p>
    <w:p>
      <w:r>
        <w:t xml:space="preserve">Conclusion</w:t>
      </w:r>
    </w:p>
    <w:p>
      <w:r>
        <w:t xml:space="preserve">A governed workflow should bind plans, code practice, and reusable data to verifiable receipts.</w:t>
      </w:r>
    </w:p>
    <w:p>
      <w:r>
        <w:t xml:space="preserve">References</w:t>
      </w:r>
    </w:p>
    <w:p>
      <w:r>
        <w:t xml:space="preserve">Munafò, M. R., Nosek, B. A., Bishop, D. V. M., et al. (2017). A manifesto for reproducible science. Nature Human Behaviour, 1, 0021. https://doi.org/10.1038/s41562-016-0021
Wilson, G., Aruliah, D. A., Brown, C. T., et al. (2014). Best Practices for Scientific Computing. PLOS Biology, 12(1), e1001745. https://doi.org/10.1371/journal.pbio.1001745
Wilkinson, M. D., Dumontier, M., Aalbersberg, I. J., et al. (2016). The FAIR Guiding Principles for scientific data management and stewardship. Scientific Data, 3, 160018. https://doi.org/10.1038/sdata.2016.18</w:t>
      </w:r>
    </w:p>
    <w:sectPr/>
  </w:body>
</w:document>
</file>