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53EE" w14:textId="77777777" w:rsidR="005E4E4D" w:rsidRDefault="005E4E4D"/>
    <w:p w14:paraId="18C4BFFC" w14:textId="77777777" w:rsidR="005E4E4D" w:rsidRDefault="005E4E4D"/>
    <w:p w14:paraId="4F05D6F3" w14:textId="77777777" w:rsidR="005E4E4D" w:rsidRDefault="00000000">
      <w:pPr>
        <w:jc w:val="center"/>
      </w:pPr>
      <w:r>
        <w:rPr>
          <w:b/>
          <w:sz w:val="32"/>
        </w:rPr>
        <w:t>Histone Marks in Coronaviruses Infection: Co-occurrence and Avoidance in the Human Nucleosome</w:t>
      </w:r>
    </w:p>
    <w:p w14:paraId="2E140F28" w14:textId="77777777" w:rsidR="005E4E4D" w:rsidRDefault="005E4E4D"/>
    <w:p w14:paraId="52963411" w14:textId="64B27912" w:rsidR="005E4E4D" w:rsidRDefault="00000000">
      <w:pPr>
        <w:jc w:val="center"/>
      </w:pPr>
      <w:r>
        <w:rPr>
          <w:sz w:val="28"/>
        </w:rPr>
        <w:t>Arli Aditya Parikesit</w:t>
      </w:r>
      <w:r w:rsidR="008036A1">
        <w:rPr>
          <w:sz w:val="28"/>
        </w:rPr>
        <w:t xml:space="preserve">, </w:t>
      </w:r>
      <w:r w:rsidR="008036A1" w:rsidRPr="008036A1">
        <w:rPr>
          <w:sz w:val="28"/>
        </w:rPr>
        <w:t xml:space="preserve">Arif Nur Muhammad Ansori, Vikash </w:t>
      </w:r>
      <w:proofErr w:type="spellStart"/>
      <w:r w:rsidR="008036A1" w:rsidRPr="008036A1">
        <w:rPr>
          <w:sz w:val="28"/>
        </w:rPr>
        <w:t>Jakmola</w:t>
      </w:r>
      <w:proofErr w:type="spellEnd"/>
    </w:p>
    <w:p w14:paraId="67585567" w14:textId="77777777" w:rsidR="005E4E4D" w:rsidRDefault="00000000">
      <w:pPr>
        <w:jc w:val="center"/>
      </w:pPr>
      <w:r>
        <w:t>Department of Biotechnology, i3L University, Jakarta, Indonesia</w:t>
      </w:r>
    </w:p>
    <w:p w14:paraId="42D13978" w14:textId="77777777" w:rsidR="005E4E4D" w:rsidRDefault="00000000">
      <w:pPr>
        <w:jc w:val="center"/>
      </w:pPr>
      <w:r>
        <w:rPr>
          <w:sz w:val="20"/>
        </w:rPr>
        <w:t>ORCID: 0000-0001-8716-3926</w:t>
      </w:r>
    </w:p>
    <w:p w14:paraId="6F967D65" w14:textId="77777777" w:rsidR="005E4E4D" w:rsidRDefault="005E4E4D"/>
    <w:p w14:paraId="7B556C7F" w14:textId="77777777" w:rsidR="005E4E4D" w:rsidRDefault="00000000">
      <w:r>
        <w:br w:type="page"/>
      </w:r>
    </w:p>
    <w:p w14:paraId="1730380E" w14:textId="77777777" w:rsidR="005E4E4D" w:rsidRDefault="00000000">
      <w:pPr>
        <w:pStyle w:val="Heading1"/>
      </w:pPr>
      <w:r>
        <w:rPr>
          <w:rFonts w:ascii="Times New Roman" w:hAnsi="Times New Roman"/>
          <w:color w:val="000000"/>
        </w:rPr>
        <w:lastRenderedPageBreak/>
        <w:t>Abstract</w:t>
      </w:r>
    </w:p>
    <w:p w14:paraId="2FE32490" w14:textId="77777777" w:rsidR="005E4E4D" w:rsidRDefault="00000000">
      <w:r>
        <w:rPr>
          <w:sz w:val="22"/>
        </w:rPr>
        <w:t>Background: Coronaviruses, including SARS-CoV-2, MERS-CoV, SARS-CoV, and HCoV-229E, manipulate host cell epigenetics through histone modifications to suppress antiviral responses and promote replication. The SARS-CoV-2 ORF8 protein functions as a histone mimic of the ARKS motif in Histone H3, disrupting host post-translational modifications and inducing chromatin compaction. Objective: This study investigates histone mark co-occurrence and avoidance patterns across three public histone databases (Histome2, HistoneDB 2.0, ProHistoneDB) alongside simulated nucleosome data with known interaction rules, providing a comparative benchmark of epigenetic interaction signals. Methods: Data were fetched live from Histome2 (62 PTM sites), HistoneDB 2.0 (30 histone variants), and ProHistoneDB (24 proto-histone categories). Simulated data (200 nucleosomes, 5 marks with embedded co-occurrence/avoidance rules) were included as a positive control. Continuous variables were binarized by median split. Co-occurrence and avoidance were assessed using Poisson significance tests with Benjamini-Hochberg FDR correction. Molecular mechanisms of histone-mediated tissue damage were synthesized from the Coronavirus_Vault literature corpus. Results: Across all three databases, no significant co-occurrence or avoidance relationships were detected after FDR correction (alpha = 0.05). In contrast, the simulated nucleosome data correctly recovered 3 significant co-occurrence and 3 significant avoidance relationships as designed. The largest database trend was in HistoneDB 2.0 between many_sequences and broad_taxonomy (observed = 14, expected = 7.5, p_adj = 0.0647), approaching significance. Five molecular mechanisms of histone-mediated damage were identified from the literature: direct membrane disruption, ionic dyshomeostasis, TLR-mediated innate immune overdrive, inflammasome-driven pyroptosis, and complement system sabotage via C3/C5 inhibition. Conclusion: Real histone database variables binarized by median split do not exhibit significant co-occurrence or avoidance patterns, whereas simulated data with known biological rules successfully recapitulate canonical mark interactions. This contrast validates the analytical framework while suggesting that database-level attributes differ fundamentally from PTM-level mark interactions. Coronaviruses employ a coordinated epigenetic strategy involving both the promotion of repressive marks and the suppression of activating marks to silence antiviral gene programs.</w:t>
      </w:r>
    </w:p>
    <w:p w14:paraId="37FE79FC" w14:textId="77777777" w:rsidR="005E4E4D" w:rsidRDefault="005E4E4D"/>
    <w:p w14:paraId="389A91F0" w14:textId="77777777" w:rsidR="005E4E4D" w:rsidRDefault="00000000">
      <w:r>
        <w:rPr>
          <w:i/>
          <w:sz w:val="20"/>
        </w:rPr>
        <w:t>Keywords: Histone marks, coronavirus, SARS-CoV-2, nucleosome, co-occurrence, epigenetics, histone mimicry, ORF8, Histome2, HistoneDB, ProHistoneDB.</w:t>
      </w:r>
    </w:p>
    <w:p w14:paraId="1CDD726A" w14:textId="77777777" w:rsidR="005E4E4D" w:rsidRDefault="00000000">
      <w:r>
        <w:br w:type="page"/>
      </w:r>
    </w:p>
    <w:p w14:paraId="767B1842" w14:textId="77777777" w:rsidR="005E4E4D" w:rsidRDefault="00000000">
      <w:pPr>
        <w:pStyle w:val="Heading1"/>
      </w:pPr>
      <w:r>
        <w:rPr>
          <w:rFonts w:ascii="Times New Roman" w:hAnsi="Times New Roman"/>
          <w:color w:val="000000"/>
        </w:rPr>
        <w:lastRenderedPageBreak/>
        <w:t>1. Introduction</w:t>
      </w:r>
    </w:p>
    <w:p w14:paraId="6B5E8E51" w14:textId="77777777" w:rsidR="005E4E4D" w:rsidRDefault="00000000">
      <w:r>
        <w:t>Histones are the fundamental structural proteins that package eukaryotic DNA into nucleosomes, the repeating units of chromatin. Beyond their structural role, histones carry a diverse array of post-translational modifications (PTMs) that constitute the epigenetic code governing gene expression, DNA repair, and chromosome segregation [1, 2]. These modifications include methylation, acetylation, phosphorylation, citrullination, and ubiquitination, each associated with distinct transcriptional outcomes.</w:t>
      </w:r>
    </w:p>
    <w:p w14:paraId="25869A4F" w14:textId="77777777" w:rsidR="005E4E4D" w:rsidRDefault="00000000">
      <w:r>
        <w:t>The emergence of SARS-CoV-2 and the subsequent COVID-19 pandemic brought renewed attention to the intersection of virology and epigenetics. Several studies have demonstrated that coronaviruses, particularly SARS-CoV-2, actively subvert host epigenetic regulation to suppress antiviral immune responses [3, 4]. A landmark study by Kee et al. [5] revealed that the SARS-CoV-2 accessory protein ORF8 functions as a histone mimic of the ARKS motif in Histone H3. Through this mimicry, ORF8 associates with host chromatin, disrupts critical histone PTMs, and promotes chromatin compaction, thereby silencing interferon response genes. Deletion of either the ORF8 gene or the histone mimic site attenuates viral disruption of host chromatin and reduces viral genome copy number [5].</w:t>
      </w:r>
    </w:p>
    <w:p w14:paraId="37DA9D4B" w14:textId="77777777" w:rsidR="005E4E4D" w:rsidRDefault="00000000">
      <w:r>
        <w:t>The range of histone marks affected by coronavirus infection is remarkably broad, encompassing both activating and repressive modifications. SARS-CoV-2 increases repressive marks such as H3K9me3 and H3K27me3 while decreasing activating marks including H3K9ac and H3K14ac [3, 5]. MERS-CoV similarly manipulates H3K4me3 at interferon-stimulated gene (ISG) promoters to prevent antiviral state establishment [6]. Human coronavirus 229E (HCoV-229E) alters histone proteoforms, including the truncation states of core histones, revealing a previously underappreciated mechanism of viral epigenetic manipulation [7].</w:t>
      </w:r>
    </w:p>
    <w:p w14:paraId="58D122DB" w14:textId="77777777" w:rsidR="005E4E4D" w:rsidRDefault="00000000">
      <w:r>
        <w:t>When infected cells undergo cell death through necrosis, apoptosis, or NETosis, histones are released into the extracellular space where they function as cytotoxic Damage-Associated Molecular Patterns (DAMPs). Extracellular histones drive tissue damage through five principal mechanisms: direct membrane disruption, ionic dyshomeostasis, Toll-like receptor (TLR) activation, inflammasome-mediated pyroptosis, and complement system inhibition [8, 9]. Understanding both the intracellular epigenetic reprogramming and the extracellular cytotoxic effects of histones is critical for developing host-directed therapies for coronavirus infections.</w:t>
      </w:r>
    </w:p>
    <w:p w14:paraId="6A3318E0" w14:textId="77777777" w:rsidR="005E4E4D" w:rsidRDefault="00000000">
      <w:r>
        <w:lastRenderedPageBreak/>
        <w:t>In this study, we developed a computational framework to analyze histone mark co-occurrence and avoidance patterns using live data from three public histone databases: Histome2 (human PTM site writer/eraser counts), HistoneDB 2.0 (histone variant HMM scores and taxonomic distribution), and ProHistoneDB (proto-histone categories across Archaea, Bacteria, and viruses). The goal was to benchmark and compare these databases for their ability to reveal statistically significant co-occurrence and avoidance signals, and to contextualize these patterns within the broader molecular mechanisms of histone-mediated pathology during coronavirus infection.</w:t>
      </w:r>
    </w:p>
    <w:p w14:paraId="454E4A1A" w14:textId="77777777" w:rsidR="005E4E4D" w:rsidRDefault="00000000">
      <w:pPr>
        <w:pStyle w:val="Heading1"/>
      </w:pPr>
      <w:r>
        <w:rPr>
          <w:rFonts w:ascii="Times New Roman" w:hAnsi="Times New Roman"/>
          <w:color w:val="000000"/>
        </w:rPr>
        <w:t>2. Materials and Methods</w:t>
      </w:r>
    </w:p>
    <w:p w14:paraId="677DA388" w14:textId="77777777" w:rsidR="005E4E4D" w:rsidRDefault="00000000">
      <w:pPr>
        <w:pStyle w:val="Heading2"/>
      </w:pPr>
      <w:r>
        <w:rPr>
          <w:rFonts w:ascii="Times New Roman" w:hAnsi="Times New Roman"/>
          <w:color w:val="000000"/>
        </w:rPr>
        <w:t>2.1. Literature Data Sources</w:t>
      </w:r>
    </w:p>
    <w:p w14:paraId="59F77B4F" w14:textId="77777777" w:rsidR="005E4E4D" w:rsidRDefault="00000000">
      <w:r>
        <w:t>Histone mark data associated with coronavirus infection were synthesized from the Coronavirus_Vault literature corpus, which contains two synthesized reviews: (1) 'Molecular Sabotage: How Histones Damage Human Tissues during Viral Infection,' detailing five mechanisms of histone-mediated tissue damage, and (2) 'Viral Histone Mimicry and Epigenetic Suppression of Host Immunity,' documenting specific histone marks altered by SARS-CoV-2, MERS-CoV, SARS-CoV, and HCoV-229E. The reference database (coronavirus26.bib) contains seven curated citations [3-8, 10].</w:t>
      </w:r>
    </w:p>
    <w:p w14:paraId="06427CEA" w14:textId="77777777" w:rsidR="005E4E4D" w:rsidRDefault="00000000">
      <w:pPr>
        <w:pStyle w:val="Heading2"/>
      </w:pPr>
      <w:r>
        <w:rPr>
          <w:rFonts w:ascii="Times New Roman" w:hAnsi="Times New Roman"/>
          <w:color w:val="000000"/>
        </w:rPr>
        <w:t>2.2. Database Sources and Data Curation</w:t>
      </w:r>
    </w:p>
    <w:p w14:paraId="3FBED01C" w14:textId="77777777" w:rsidR="005E4E4D" w:rsidRDefault="00000000">
      <w:r>
        <w:t>Three public histone databases were queried programmatically via their REST APIs or downloadable flat files. All fetches were performed with configurable timeouts (10-30 s) and thread pool parallelism where applicable.</w:t>
      </w:r>
    </w:p>
    <w:p w14:paraId="1642975E" w14:textId="77777777" w:rsidR="005E4E4D" w:rsidRDefault="00000000">
      <w:r>
        <w:t xml:space="preserve">Histome2 (actrec.gov.in/histome2) is a curated database of human histone post-translational modification sites maintained by ACTREC, India [11]. Data were scraped from the PTM table pages across four modification types: lysine methylation, lysine acetylation, arginine methylation, and lysine ubiquitination. For each PTM site, the numbers of associated writer enzymes (mark1), eraser enzymes (mark2), and distinct modification types (mark3) were recorded. A total of 62 PTM sites were retrieved. The continuous variables were binarized by </w:t>
      </w:r>
      <w:r>
        <w:lastRenderedPageBreak/>
        <w:t>median split to produce three binary marks: has_writer (above-median writer count), has_eraser (above-median eraser count), and multi_mod (above-median number of modification types).</w:t>
      </w:r>
    </w:p>
    <w:p w14:paraId="13B5B8C8" w14:textId="77777777" w:rsidR="005E4E4D" w:rsidRDefault="00000000">
      <w:r>
        <w:t>HistoneDB 2.0 (ncbi.nlm.nih.gov/research/histonedb) is an NCBI-hosted database of histone variant sequences with HMM classification scores [12]. Sequence and score flat files were downloaded as CSV dumps. Data were aggregated by histone variant, producing three features per variant: mean HMM score (mark1), number of classified sequences (mark2), and number of distinct taxonomic IDs (mark3). Thirty histone variants were retrieved. These continuous variables were binarized by median split into three binary marks: high_HMM_score, many_sequences, and broad_taxonomy.</w:t>
      </w:r>
    </w:p>
    <w:p w14:paraId="3D7E9D02" w14:textId="77777777" w:rsidR="005E4E4D" w:rsidRDefault="00000000">
      <w:r>
        <w:t>ProHistoneDB (prohistonedb.org) catalogs proto-histone categories across Archaea, Bacteria, and viruses [13]. PhyloXML tree files for 28 phylogenetic categories were fetched concurrently via ThreadPoolExecutor. For each category, the number of clades (mark1), distinct taxonomic codes (mark2), and mean sequence length in amino acids (mark3) were extracted. Twenty-four categories with valid data were retained after fetch completion. These were binarized by median split into three binary marks: many_sequences, broad_taxonomy, and long_sequence.</w:t>
      </w:r>
    </w:p>
    <w:p w14:paraId="3D5A3316" w14:textId="77777777" w:rsidR="005E4E4D" w:rsidRDefault="00000000">
      <w:r>
        <w:t>Simulated nucleosome data (200 nucleosomes, 5 marks) were generated as a positive control using embedded biological rules. Activating marks H3K4me3 and H3K27ac were modeled to co-occur (probability P = 0.75 of H3K27ac given H3K4me3, versus P = 0.15 otherwise). The repressive mark H3K9me3 was modeled to avoid active marks (probability P = 0.40 in inactive regions versus P = 0.06 in active regions). H3K36me3 was modeled as independent at 25% background frequency. H2AK5ac was modeled to co-occur with H3K27ac (P = 0.45 given H3K27ac, versus P = 0.10 otherwise). These rules encode known nucleosomal interactions: H3K4me3 and H3K27ac jointly mark active promoters, H3K9me3 marks silenced heterochromatin and is anticorrelated with active marks, and H3K36me3 demarcates gene body elongation independent of promoter status.</w:t>
      </w:r>
    </w:p>
    <w:p w14:paraId="4866B945" w14:textId="77777777" w:rsidR="005E4E4D" w:rsidRDefault="00000000">
      <w:pPr>
        <w:pStyle w:val="Heading2"/>
      </w:pPr>
      <w:r>
        <w:rPr>
          <w:rFonts w:ascii="Times New Roman" w:hAnsi="Times New Roman"/>
          <w:color w:val="000000"/>
        </w:rPr>
        <w:t>2.3. Statistical Analysis of Co-occurrence and Avoidance</w:t>
      </w:r>
    </w:p>
    <w:p w14:paraId="27DE6396" w14:textId="77777777" w:rsidR="005E4E4D" w:rsidRDefault="00000000">
      <w:r>
        <w:t xml:space="preserve">For each database, co-occurrence was defined as two binary marks appearing together in the same region more often than expected under independence. The null expectation was modeled as a Poisson distribution with lambda = n * P(A) * P(B), where n is the number of regions and P(A) </w:t>
      </w:r>
      <w:r>
        <w:lastRenderedPageBreak/>
        <w:t>and P(B) are the marginal probabilities of marks A and B. The right-tailed Poisson test assessed co-occurrence significance: P(observed &gt;= k | lambda). The left-tailed Poisson test assessed avoidance significance: P(observed &lt;= k | lambda). P-values were adjusted for multiple testing using the Benjamini-Hochberg False Discovery Rate (FDR) method, with alpha set to 0.05 [14]. The log2 fold change was calculated as log2(observed_count / expected_count).</w:t>
      </w:r>
    </w:p>
    <w:p w14:paraId="199F2AF7" w14:textId="77777777" w:rsidR="005E4E4D" w:rsidRDefault="00000000">
      <w:pPr>
        <w:pStyle w:val="Heading2"/>
      </w:pPr>
      <w:r>
        <w:rPr>
          <w:rFonts w:ascii="Times New Roman" w:hAnsi="Times New Roman"/>
          <w:color w:val="000000"/>
        </w:rPr>
        <w:t>2.4. Application Development</w:t>
      </w:r>
    </w:p>
    <w:p w14:paraId="0A40056C" w14:textId="77777777" w:rsidR="005E4E4D" w:rsidRDefault="00000000">
      <w:r>
        <w:t>The computational framework was implemented as a Streamlit dashboard (app-covid.py) that integrates data ingestion, statistical analysis, and visualization. The application provides nine interactive tabs including co-occurrence analysis with data source selection (Histome2, HistoneDB 2.0, ProHistoneDB, Simulated), with automatic fallback to simulated data when live fetches fail. All figures in this manuscript were generated programmatically using the core computational functions with Matplotlib and NetworkX [15, 16].</w:t>
      </w:r>
    </w:p>
    <w:p w14:paraId="551CC2D8" w14:textId="77777777" w:rsidR="005E4E4D" w:rsidRDefault="00000000">
      <w:r>
        <w:br w:type="page"/>
      </w:r>
    </w:p>
    <w:p w14:paraId="4B6BC4AA" w14:textId="77777777" w:rsidR="005E4E4D" w:rsidRDefault="00000000">
      <w:pPr>
        <w:pStyle w:val="Heading1"/>
      </w:pPr>
      <w:r>
        <w:rPr>
          <w:rFonts w:ascii="Times New Roman" w:hAnsi="Times New Roman"/>
          <w:color w:val="000000"/>
        </w:rPr>
        <w:lastRenderedPageBreak/>
        <w:t>3. Results</w:t>
      </w:r>
    </w:p>
    <w:p w14:paraId="006492B1" w14:textId="77777777" w:rsidR="005E4E4D" w:rsidRDefault="00000000">
      <w:pPr>
        <w:pStyle w:val="Heading2"/>
      </w:pPr>
      <w:r>
        <w:rPr>
          <w:rFonts w:ascii="Times New Roman" w:hAnsi="Times New Roman"/>
          <w:color w:val="000000"/>
        </w:rPr>
        <w:t>3.1. Occurrence of Histone Marks Across Databases</w:t>
      </w:r>
    </w:p>
    <w:p w14:paraId="2D5C371D" w14:textId="77777777" w:rsidR="005E4E4D" w:rsidRDefault="00000000">
      <w:r>
        <w:t>The occurrence frequency of each binary mark varied across the three databases, reflecting their different biological domains and feature definitions (Figure 1). In Histome2, has_writer occurred at 41.9% of the 62 PTM sites, has_eraser at 33.9%, and multi_mod at 0.0%. The latter was entirely degenerate because all PTM sites in Histome2 had only one modification type each, so the median equaled the minimum value and no site exceeded the threshold.</w:t>
      </w:r>
    </w:p>
    <w:p w14:paraId="45BB30D3" w14:textId="77777777" w:rsidR="005E4E4D" w:rsidRDefault="00000000">
      <w:r>
        <w:t>HistoneDB 2.0 showed all three marks at exactly 50.0% occurrence by construction, because the median split on 30 variants yields 15 variants above and 15 below the median for each continuous variable. ProHistoneDB showed many_sequences at 50.0%, broad_taxonomy at 37.5%, and long_sequence at 50.0%. The lower occurrence of broad_taxonomy reflects the uneven distribution of taxonomic breadth across proto-histone categories, where many categories are found in only one or two taxonomic groups.</w:t>
      </w:r>
    </w:p>
    <w:p w14:paraId="394CD5FC" w14:textId="77777777" w:rsidR="005E4E4D" w:rsidRDefault="00000000">
      <w:r>
        <w:t>The simulated nucleosome data (n = 200) showed more varied occurrence frequencies reflecting the deliberately engineered mark distributions: H3K4me3 at 35.5%, H3K27ac at 38.5%, H3K9me3 at 27.5%, H3K36me3 at 26.0%, and H2AK5ac at 22.0%. These values fall within realistic ranges for ChIP-seq experiments, where activating marks typically cover 20-40% of analyzed nucleosomes and repressive marks 15-30%.</w:t>
      </w:r>
    </w:p>
    <w:p w14:paraId="53B9FB63" w14:textId="77777777" w:rsidR="005E4E4D" w:rsidRDefault="00000000">
      <w:pPr>
        <w:jc w:val="center"/>
      </w:pPr>
      <w:r>
        <w:rPr>
          <w:noProof/>
        </w:rPr>
        <w:drawing>
          <wp:inline distT="0" distB="0" distL="0" distR="0" wp14:anchorId="095CDE19" wp14:editId="092C19B1">
            <wp:extent cx="6509133" cy="234061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b_occurrence_comparison.png"/>
                    <pic:cNvPicPr/>
                  </pic:nvPicPr>
                  <pic:blipFill>
                    <a:blip r:embed="rId6"/>
                    <a:stretch>
                      <a:fillRect/>
                    </a:stretch>
                  </pic:blipFill>
                  <pic:spPr>
                    <a:xfrm>
                      <a:off x="0" y="0"/>
                      <a:ext cx="6721615" cy="2417016"/>
                    </a:xfrm>
                    <a:prstGeom prst="rect">
                      <a:avLst/>
                    </a:prstGeom>
                  </pic:spPr>
                </pic:pic>
              </a:graphicData>
            </a:graphic>
          </wp:inline>
        </w:drawing>
      </w:r>
    </w:p>
    <w:p w14:paraId="20EDF2D0" w14:textId="77777777" w:rsidR="005E4E4D" w:rsidRDefault="00000000">
      <w:r>
        <w:rPr>
          <w:i/>
          <w:sz w:val="20"/>
        </w:rPr>
        <w:lastRenderedPageBreak/>
        <w:t>Figure: Histone mark occurrence frequencies across all data sources: Histome2 (62 PTM sites), HistoneDB 2.0 (30 histone variants), ProHistoneDB (24 proto-histone categories), and Simulated (200 nucleosomes, 5 marks with embedded interaction rules). Marks were binarized by median split of continuous variables.</w:t>
      </w:r>
    </w:p>
    <w:p w14:paraId="6388D3FA" w14:textId="77777777" w:rsidR="005E4E4D" w:rsidRDefault="005E4E4D"/>
    <w:p w14:paraId="1339036D" w14:textId="77777777" w:rsidR="005E4E4D" w:rsidRDefault="00000000">
      <w:pPr>
        <w:pStyle w:val="Heading2"/>
      </w:pPr>
      <w:r>
        <w:rPr>
          <w:rFonts w:ascii="Times New Roman" w:hAnsi="Times New Roman"/>
          <w:color w:val="000000"/>
        </w:rPr>
        <w:t>3.2. Co-occurrence and Avoidance Analysis</w:t>
      </w:r>
    </w:p>
    <w:p w14:paraId="0D452BC4" w14:textId="77777777" w:rsidR="005E4E4D" w:rsidRDefault="00000000">
      <w:r>
        <w:t>The co-occurrence and avoidance analysis revealed no statistically significant relationships after FDR correction at alpha = 0.05 for any of the three real databases (Figure 2). In contrast, the simulated nucleosome data recovered three significant co-occurrence pairs and three significant avoidance pairs, all consistent with the embedded biological rules (Table 1).</w:t>
      </w:r>
    </w:p>
    <w:p w14:paraId="31ACB667" w14:textId="77777777" w:rsidR="005E4E4D" w:rsidRDefault="00000000">
      <w:r>
        <w:rPr>
          <w:b/>
          <w:sz w:val="20"/>
        </w:rPr>
        <w:t>Table 1. Pairwise co-occurrence and avoidance results across all data sources.</w:t>
      </w:r>
    </w:p>
    <w:p w14:paraId="49DE49BC" w14:textId="77777777" w:rsidR="005E4E4D" w:rsidRDefault="005E4E4D"/>
    <w:tbl>
      <w:tblPr>
        <w:tblStyle w:val="LightGrid-Accent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5E4E4D" w14:paraId="2E744CF3" w14:textId="77777777" w:rsidTr="005E4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FBF939A" w14:textId="77777777" w:rsidR="005E4E4D" w:rsidRDefault="00000000">
            <w:r>
              <w:rPr>
                <w:sz w:val="16"/>
              </w:rPr>
              <w:t>Database</w:t>
            </w:r>
          </w:p>
        </w:tc>
        <w:tc>
          <w:tcPr>
            <w:tcW w:w="1170" w:type="dxa"/>
          </w:tcPr>
          <w:p w14:paraId="238E60C6"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Mark pair</w:t>
            </w:r>
          </w:p>
        </w:tc>
        <w:tc>
          <w:tcPr>
            <w:tcW w:w="1170" w:type="dxa"/>
          </w:tcPr>
          <w:p w14:paraId="28236013"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Obs</w:t>
            </w:r>
          </w:p>
        </w:tc>
        <w:tc>
          <w:tcPr>
            <w:tcW w:w="1170" w:type="dxa"/>
          </w:tcPr>
          <w:p w14:paraId="70299210"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Exp</w:t>
            </w:r>
          </w:p>
        </w:tc>
        <w:tc>
          <w:tcPr>
            <w:tcW w:w="1170" w:type="dxa"/>
          </w:tcPr>
          <w:p w14:paraId="05D575DD"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Log2FC</w:t>
            </w:r>
          </w:p>
        </w:tc>
        <w:tc>
          <w:tcPr>
            <w:tcW w:w="1170" w:type="dxa"/>
          </w:tcPr>
          <w:p w14:paraId="6917511C"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p_adj (co)</w:t>
            </w:r>
          </w:p>
        </w:tc>
        <w:tc>
          <w:tcPr>
            <w:tcW w:w="1170" w:type="dxa"/>
          </w:tcPr>
          <w:p w14:paraId="3E8F975B"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p_adj (av)</w:t>
            </w:r>
          </w:p>
        </w:tc>
        <w:tc>
          <w:tcPr>
            <w:tcW w:w="1170" w:type="dxa"/>
          </w:tcPr>
          <w:p w14:paraId="25AE6563"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6"/>
              </w:rPr>
              <w:t>Significant</w:t>
            </w:r>
          </w:p>
        </w:tc>
      </w:tr>
      <w:tr w:rsidR="005E4E4D" w14:paraId="793F3F46"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3EB8D2C8" w14:textId="77777777" w:rsidR="005E4E4D" w:rsidRDefault="00000000">
            <w:r>
              <w:rPr>
                <w:sz w:val="14"/>
              </w:rPr>
              <w:t>Histome2</w:t>
            </w:r>
          </w:p>
        </w:tc>
        <w:tc>
          <w:tcPr>
            <w:tcW w:w="1170" w:type="dxa"/>
          </w:tcPr>
          <w:p w14:paraId="537B079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has_writer vs has_eraser</w:t>
            </w:r>
          </w:p>
        </w:tc>
        <w:tc>
          <w:tcPr>
            <w:tcW w:w="1170" w:type="dxa"/>
          </w:tcPr>
          <w:p w14:paraId="31DF09E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14</w:t>
            </w:r>
          </w:p>
        </w:tc>
        <w:tc>
          <w:tcPr>
            <w:tcW w:w="1170" w:type="dxa"/>
          </w:tcPr>
          <w:p w14:paraId="548B4818"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8.81</w:t>
            </w:r>
          </w:p>
        </w:tc>
        <w:tc>
          <w:tcPr>
            <w:tcW w:w="1170" w:type="dxa"/>
          </w:tcPr>
          <w:p w14:paraId="7E599981"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0.67</w:t>
            </w:r>
          </w:p>
        </w:tc>
        <w:tc>
          <w:tcPr>
            <w:tcW w:w="1170" w:type="dxa"/>
          </w:tcPr>
          <w:p w14:paraId="4E62F36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0.194</w:t>
            </w:r>
          </w:p>
        </w:tc>
        <w:tc>
          <w:tcPr>
            <w:tcW w:w="1170" w:type="dxa"/>
          </w:tcPr>
          <w:p w14:paraId="4521AFAF"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385D958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None</w:t>
            </w:r>
          </w:p>
        </w:tc>
      </w:tr>
      <w:tr w:rsidR="005E4E4D" w14:paraId="0772C74E"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0A6B66B4" w14:textId="77777777" w:rsidR="005E4E4D" w:rsidRDefault="00000000">
            <w:r>
              <w:rPr>
                <w:sz w:val="14"/>
              </w:rPr>
              <w:t>Histome2</w:t>
            </w:r>
          </w:p>
        </w:tc>
        <w:tc>
          <w:tcPr>
            <w:tcW w:w="1170" w:type="dxa"/>
          </w:tcPr>
          <w:p w14:paraId="554FCE0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has_writer vs multi_mod</w:t>
            </w:r>
          </w:p>
        </w:tc>
        <w:tc>
          <w:tcPr>
            <w:tcW w:w="1170" w:type="dxa"/>
          </w:tcPr>
          <w:p w14:paraId="71A08736"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w:t>
            </w:r>
          </w:p>
        </w:tc>
        <w:tc>
          <w:tcPr>
            <w:tcW w:w="1170" w:type="dxa"/>
          </w:tcPr>
          <w:p w14:paraId="36700F3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0.00</w:t>
            </w:r>
          </w:p>
        </w:tc>
        <w:tc>
          <w:tcPr>
            <w:tcW w:w="1170" w:type="dxa"/>
          </w:tcPr>
          <w:p w14:paraId="040385E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0.00</w:t>
            </w:r>
          </w:p>
        </w:tc>
        <w:tc>
          <w:tcPr>
            <w:tcW w:w="1170" w:type="dxa"/>
          </w:tcPr>
          <w:p w14:paraId="16356E47"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1AD44E78"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5DD31FAB"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None (degenerate)</w:t>
            </w:r>
          </w:p>
        </w:tc>
      </w:tr>
      <w:tr w:rsidR="005E4E4D" w14:paraId="512B4C4A"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954A931" w14:textId="77777777" w:rsidR="005E4E4D" w:rsidRDefault="00000000">
            <w:r>
              <w:rPr>
                <w:sz w:val="14"/>
              </w:rPr>
              <w:t>Histome2</w:t>
            </w:r>
          </w:p>
        </w:tc>
        <w:tc>
          <w:tcPr>
            <w:tcW w:w="1170" w:type="dxa"/>
          </w:tcPr>
          <w:p w14:paraId="1FEB9CF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has_eraser vs multi_mod</w:t>
            </w:r>
          </w:p>
        </w:tc>
        <w:tc>
          <w:tcPr>
            <w:tcW w:w="1170" w:type="dxa"/>
          </w:tcPr>
          <w:p w14:paraId="2CF05863"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w:t>
            </w:r>
          </w:p>
        </w:tc>
        <w:tc>
          <w:tcPr>
            <w:tcW w:w="1170" w:type="dxa"/>
          </w:tcPr>
          <w:p w14:paraId="1B7BA675"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0.00</w:t>
            </w:r>
          </w:p>
        </w:tc>
        <w:tc>
          <w:tcPr>
            <w:tcW w:w="1170" w:type="dxa"/>
          </w:tcPr>
          <w:p w14:paraId="71AD9DD5"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0.00</w:t>
            </w:r>
          </w:p>
        </w:tc>
        <w:tc>
          <w:tcPr>
            <w:tcW w:w="1170" w:type="dxa"/>
          </w:tcPr>
          <w:p w14:paraId="2C8CF19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361CCF0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0A3FEB1C"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None (degenerate)</w:t>
            </w:r>
          </w:p>
        </w:tc>
      </w:tr>
      <w:tr w:rsidR="005E4E4D" w14:paraId="1E7D4C1E"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051A98CA" w14:textId="77777777" w:rsidR="005E4E4D" w:rsidRDefault="00000000">
            <w:r>
              <w:rPr>
                <w:sz w:val="14"/>
              </w:rPr>
              <w:t>HistoneDB 2.0</w:t>
            </w:r>
          </w:p>
        </w:tc>
        <w:tc>
          <w:tcPr>
            <w:tcW w:w="1170" w:type="dxa"/>
          </w:tcPr>
          <w:p w14:paraId="6864320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high_HMM vs many_seq</w:t>
            </w:r>
          </w:p>
        </w:tc>
        <w:tc>
          <w:tcPr>
            <w:tcW w:w="1170" w:type="dxa"/>
          </w:tcPr>
          <w:p w14:paraId="66E13786"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7</w:t>
            </w:r>
          </w:p>
        </w:tc>
        <w:tc>
          <w:tcPr>
            <w:tcW w:w="1170" w:type="dxa"/>
          </w:tcPr>
          <w:p w14:paraId="691BF3DB"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7.50</w:t>
            </w:r>
          </w:p>
        </w:tc>
        <w:tc>
          <w:tcPr>
            <w:tcW w:w="1170" w:type="dxa"/>
          </w:tcPr>
          <w:p w14:paraId="7067132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-0.10</w:t>
            </w:r>
          </w:p>
        </w:tc>
        <w:tc>
          <w:tcPr>
            <w:tcW w:w="1170" w:type="dxa"/>
          </w:tcPr>
          <w:p w14:paraId="3D562C36"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0.622</w:t>
            </w:r>
          </w:p>
        </w:tc>
        <w:tc>
          <w:tcPr>
            <w:tcW w:w="1170" w:type="dxa"/>
          </w:tcPr>
          <w:p w14:paraId="2DEAEF42"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0.787</w:t>
            </w:r>
          </w:p>
        </w:tc>
        <w:tc>
          <w:tcPr>
            <w:tcW w:w="1170" w:type="dxa"/>
          </w:tcPr>
          <w:p w14:paraId="28E9701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None</w:t>
            </w:r>
          </w:p>
        </w:tc>
      </w:tr>
      <w:tr w:rsidR="005E4E4D" w14:paraId="515723E0"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47DDCBC0" w14:textId="77777777" w:rsidR="005E4E4D" w:rsidRDefault="00000000">
            <w:r>
              <w:rPr>
                <w:sz w:val="14"/>
              </w:rPr>
              <w:t>HistoneDB 2.0</w:t>
            </w:r>
          </w:p>
        </w:tc>
        <w:tc>
          <w:tcPr>
            <w:tcW w:w="1170" w:type="dxa"/>
          </w:tcPr>
          <w:p w14:paraId="22DE6F13"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high_HMM vs broad_tax</w:t>
            </w:r>
          </w:p>
        </w:tc>
        <w:tc>
          <w:tcPr>
            <w:tcW w:w="1170" w:type="dxa"/>
          </w:tcPr>
          <w:p w14:paraId="4A57FC13"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7</w:t>
            </w:r>
          </w:p>
        </w:tc>
        <w:tc>
          <w:tcPr>
            <w:tcW w:w="1170" w:type="dxa"/>
          </w:tcPr>
          <w:p w14:paraId="2C6E4C61"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7.50</w:t>
            </w:r>
          </w:p>
        </w:tc>
        <w:tc>
          <w:tcPr>
            <w:tcW w:w="1170" w:type="dxa"/>
          </w:tcPr>
          <w:p w14:paraId="1E74F92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-0.10</w:t>
            </w:r>
          </w:p>
        </w:tc>
        <w:tc>
          <w:tcPr>
            <w:tcW w:w="1170" w:type="dxa"/>
          </w:tcPr>
          <w:p w14:paraId="08875E28"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0.622</w:t>
            </w:r>
          </w:p>
        </w:tc>
        <w:tc>
          <w:tcPr>
            <w:tcW w:w="1170" w:type="dxa"/>
          </w:tcPr>
          <w:p w14:paraId="4C33EA3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0.787</w:t>
            </w:r>
          </w:p>
        </w:tc>
        <w:tc>
          <w:tcPr>
            <w:tcW w:w="1170" w:type="dxa"/>
          </w:tcPr>
          <w:p w14:paraId="7EAD16F8"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None</w:t>
            </w:r>
          </w:p>
        </w:tc>
      </w:tr>
      <w:tr w:rsidR="005E4E4D" w14:paraId="423601BC"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170824EA" w14:textId="77777777" w:rsidR="005E4E4D" w:rsidRDefault="00000000">
            <w:r>
              <w:rPr>
                <w:sz w:val="14"/>
              </w:rPr>
              <w:t>HistoneDB 2.0</w:t>
            </w:r>
          </w:p>
        </w:tc>
        <w:tc>
          <w:tcPr>
            <w:tcW w:w="1170" w:type="dxa"/>
          </w:tcPr>
          <w:p w14:paraId="2E7CE4F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many_seq vs broad_tax</w:t>
            </w:r>
          </w:p>
        </w:tc>
        <w:tc>
          <w:tcPr>
            <w:tcW w:w="1170" w:type="dxa"/>
          </w:tcPr>
          <w:p w14:paraId="0869E92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14</w:t>
            </w:r>
          </w:p>
        </w:tc>
        <w:tc>
          <w:tcPr>
            <w:tcW w:w="1170" w:type="dxa"/>
          </w:tcPr>
          <w:p w14:paraId="622125F9"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7.50</w:t>
            </w:r>
          </w:p>
        </w:tc>
        <w:tc>
          <w:tcPr>
            <w:tcW w:w="1170" w:type="dxa"/>
          </w:tcPr>
          <w:p w14:paraId="2CBAA7E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0.90</w:t>
            </w:r>
          </w:p>
        </w:tc>
        <w:tc>
          <w:tcPr>
            <w:tcW w:w="1170" w:type="dxa"/>
          </w:tcPr>
          <w:p w14:paraId="0FC76E8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0.065</w:t>
            </w:r>
          </w:p>
        </w:tc>
        <w:tc>
          <w:tcPr>
            <w:tcW w:w="1170" w:type="dxa"/>
          </w:tcPr>
          <w:p w14:paraId="70E9152D"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0.990</w:t>
            </w:r>
          </w:p>
        </w:tc>
        <w:tc>
          <w:tcPr>
            <w:tcW w:w="1170" w:type="dxa"/>
          </w:tcPr>
          <w:p w14:paraId="38DE4626"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Trend only</w:t>
            </w:r>
          </w:p>
        </w:tc>
      </w:tr>
      <w:tr w:rsidR="005E4E4D" w14:paraId="508ADF7A"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2CED72A6" w14:textId="77777777" w:rsidR="005E4E4D" w:rsidRDefault="00000000">
            <w:r>
              <w:rPr>
                <w:sz w:val="14"/>
              </w:rPr>
              <w:t>ProHistoneDB</w:t>
            </w:r>
          </w:p>
        </w:tc>
        <w:tc>
          <w:tcPr>
            <w:tcW w:w="1170" w:type="dxa"/>
          </w:tcPr>
          <w:p w14:paraId="2C540C9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many_seq vs broad_tax</w:t>
            </w:r>
          </w:p>
        </w:tc>
        <w:tc>
          <w:tcPr>
            <w:tcW w:w="1170" w:type="dxa"/>
          </w:tcPr>
          <w:p w14:paraId="2F74D9B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7</w:t>
            </w:r>
          </w:p>
        </w:tc>
        <w:tc>
          <w:tcPr>
            <w:tcW w:w="1170" w:type="dxa"/>
          </w:tcPr>
          <w:p w14:paraId="30D15D42"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4.50</w:t>
            </w:r>
          </w:p>
        </w:tc>
        <w:tc>
          <w:tcPr>
            <w:tcW w:w="1170" w:type="dxa"/>
          </w:tcPr>
          <w:p w14:paraId="6AF378A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1170" w:type="dxa"/>
          </w:tcPr>
          <w:p w14:paraId="19688A0B"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0.507</w:t>
            </w:r>
          </w:p>
        </w:tc>
        <w:tc>
          <w:tcPr>
            <w:tcW w:w="1170" w:type="dxa"/>
          </w:tcPr>
          <w:p w14:paraId="5A8486B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0.913</w:t>
            </w:r>
          </w:p>
        </w:tc>
        <w:tc>
          <w:tcPr>
            <w:tcW w:w="1170" w:type="dxa"/>
          </w:tcPr>
          <w:p w14:paraId="2930CF3B"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None</w:t>
            </w:r>
          </w:p>
        </w:tc>
      </w:tr>
      <w:tr w:rsidR="005E4E4D" w14:paraId="171D0820"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7AAC2B60" w14:textId="77777777" w:rsidR="005E4E4D" w:rsidRDefault="00000000">
            <w:r>
              <w:rPr>
                <w:sz w:val="14"/>
              </w:rPr>
              <w:t>ProHistoneDB</w:t>
            </w:r>
          </w:p>
        </w:tc>
        <w:tc>
          <w:tcPr>
            <w:tcW w:w="1170" w:type="dxa"/>
          </w:tcPr>
          <w:p w14:paraId="3A08FCD5"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many_seq vs long_seq</w:t>
            </w:r>
          </w:p>
        </w:tc>
        <w:tc>
          <w:tcPr>
            <w:tcW w:w="1170" w:type="dxa"/>
          </w:tcPr>
          <w:p w14:paraId="05D85412"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7</w:t>
            </w:r>
          </w:p>
        </w:tc>
        <w:tc>
          <w:tcPr>
            <w:tcW w:w="1170" w:type="dxa"/>
          </w:tcPr>
          <w:p w14:paraId="571DDE1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6.00</w:t>
            </w:r>
          </w:p>
        </w:tc>
        <w:tc>
          <w:tcPr>
            <w:tcW w:w="1170" w:type="dxa"/>
          </w:tcPr>
          <w:p w14:paraId="2FDE61B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0.22</w:t>
            </w:r>
          </w:p>
        </w:tc>
        <w:tc>
          <w:tcPr>
            <w:tcW w:w="1170" w:type="dxa"/>
          </w:tcPr>
          <w:p w14:paraId="01567967"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0.591</w:t>
            </w:r>
          </w:p>
        </w:tc>
        <w:tc>
          <w:tcPr>
            <w:tcW w:w="1170" w:type="dxa"/>
          </w:tcPr>
          <w:p w14:paraId="6D7C1D7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0.913</w:t>
            </w:r>
          </w:p>
        </w:tc>
        <w:tc>
          <w:tcPr>
            <w:tcW w:w="1170" w:type="dxa"/>
          </w:tcPr>
          <w:p w14:paraId="4D82344B"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None</w:t>
            </w:r>
          </w:p>
        </w:tc>
      </w:tr>
      <w:tr w:rsidR="005E4E4D" w14:paraId="0E3C219B"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4FCD7629" w14:textId="77777777" w:rsidR="005E4E4D" w:rsidRDefault="00000000">
            <w:r>
              <w:rPr>
                <w:sz w:val="14"/>
              </w:rPr>
              <w:t>ProHistoneDB</w:t>
            </w:r>
          </w:p>
        </w:tc>
        <w:tc>
          <w:tcPr>
            <w:tcW w:w="1170" w:type="dxa"/>
          </w:tcPr>
          <w:p w14:paraId="183AE82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broad_tax vs long_seq</w:t>
            </w:r>
          </w:p>
        </w:tc>
        <w:tc>
          <w:tcPr>
            <w:tcW w:w="1170" w:type="dxa"/>
          </w:tcPr>
          <w:p w14:paraId="26E7D65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4</w:t>
            </w:r>
          </w:p>
        </w:tc>
        <w:tc>
          <w:tcPr>
            <w:tcW w:w="1170" w:type="dxa"/>
          </w:tcPr>
          <w:p w14:paraId="271587D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4.50</w:t>
            </w:r>
          </w:p>
        </w:tc>
        <w:tc>
          <w:tcPr>
            <w:tcW w:w="1170" w:type="dxa"/>
          </w:tcPr>
          <w:p w14:paraId="000A0A1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1170" w:type="dxa"/>
          </w:tcPr>
          <w:p w14:paraId="1C32084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0.658</w:t>
            </w:r>
          </w:p>
        </w:tc>
        <w:tc>
          <w:tcPr>
            <w:tcW w:w="1170" w:type="dxa"/>
          </w:tcPr>
          <w:p w14:paraId="467418D5"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0.913</w:t>
            </w:r>
          </w:p>
        </w:tc>
        <w:tc>
          <w:tcPr>
            <w:tcW w:w="1170" w:type="dxa"/>
          </w:tcPr>
          <w:p w14:paraId="6EE97BB8"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None</w:t>
            </w:r>
          </w:p>
        </w:tc>
      </w:tr>
      <w:tr w:rsidR="005E4E4D" w14:paraId="15E71D97"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33E1F008" w14:textId="77777777" w:rsidR="005E4E4D" w:rsidRDefault="00000000">
            <w:r>
              <w:rPr>
                <w:sz w:val="14"/>
              </w:rPr>
              <w:t>Simulated</w:t>
            </w:r>
          </w:p>
        </w:tc>
        <w:tc>
          <w:tcPr>
            <w:tcW w:w="1170" w:type="dxa"/>
          </w:tcPr>
          <w:p w14:paraId="7DC229A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H3K4me3 vs H3K27ac</w:t>
            </w:r>
          </w:p>
        </w:tc>
        <w:tc>
          <w:tcPr>
            <w:tcW w:w="1170" w:type="dxa"/>
          </w:tcPr>
          <w:p w14:paraId="1CC43E0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56</w:t>
            </w:r>
          </w:p>
        </w:tc>
        <w:tc>
          <w:tcPr>
            <w:tcW w:w="1170" w:type="dxa"/>
          </w:tcPr>
          <w:p w14:paraId="2F8CC7C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27.34</w:t>
            </w:r>
          </w:p>
        </w:tc>
        <w:tc>
          <w:tcPr>
            <w:tcW w:w="1170" w:type="dxa"/>
          </w:tcPr>
          <w:p w14:paraId="46D99F7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1.04</w:t>
            </w:r>
          </w:p>
        </w:tc>
        <w:tc>
          <w:tcPr>
            <w:tcW w:w="1170" w:type="dxa"/>
          </w:tcPr>
          <w:p w14:paraId="25C8A26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&lt;0.001</w:t>
            </w:r>
          </w:p>
        </w:tc>
        <w:tc>
          <w:tcPr>
            <w:tcW w:w="1170" w:type="dxa"/>
          </w:tcPr>
          <w:p w14:paraId="1D0C20E4"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755696E1"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Co-occur *</w:t>
            </w:r>
          </w:p>
        </w:tc>
      </w:tr>
      <w:tr w:rsidR="005E4E4D" w14:paraId="14677D0D"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E66FA41" w14:textId="77777777" w:rsidR="005E4E4D" w:rsidRDefault="00000000">
            <w:r>
              <w:rPr>
                <w:sz w:val="14"/>
              </w:rPr>
              <w:t>Simulated</w:t>
            </w:r>
          </w:p>
        </w:tc>
        <w:tc>
          <w:tcPr>
            <w:tcW w:w="1170" w:type="dxa"/>
          </w:tcPr>
          <w:p w14:paraId="2F9B65A2"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H3K4me3 vs H3K9me3</w:t>
            </w:r>
          </w:p>
        </w:tc>
        <w:tc>
          <w:tcPr>
            <w:tcW w:w="1170" w:type="dxa"/>
          </w:tcPr>
          <w:p w14:paraId="7796BF68"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4</w:t>
            </w:r>
          </w:p>
        </w:tc>
        <w:tc>
          <w:tcPr>
            <w:tcW w:w="1170" w:type="dxa"/>
          </w:tcPr>
          <w:p w14:paraId="6D39E48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19.53</w:t>
            </w:r>
          </w:p>
        </w:tc>
        <w:tc>
          <w:tcPr>
            <w:tcW w:w="1170" w:type="dxa"/>
          </w:tcPr>
          <w:p w14:paraId="6100F08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-2.29</w:t>
            </w:r>
          </w:p>
        </w:tc>
        <w:tc>
          <w:tcPr>
            <w:tcW w:w="1170" w:type="dxa"/>
          </w:tcPr>
          <w:p w14:paraId="7C182AA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4629510A"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&lt;0.001</w:t>
            </w:r>
          </w:p>
        </w:tc>
        <w:tc>
          <w:tcPr>
            <w:tcW w:w="1170" w:type="dxa"/>
          </w:tcPr>
          <w:p w14:paraId="3A16B69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Avoid **</w:t>
            </w:r>
          </w:p>
        </w:tc>
      </w:tr>
      <w:tr w:rsidR="005E4E4D" w14:paraId="2EB1D82A"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135060E" w14:textId="77777777" w:rsidR="005E4E4D" w:rsidRDefault="00000000">
            <w:r>
              <w:rPr>
                <w:sz w:val="14"/>
              </w:rPr>
              <w:t>Simulated</w:t>
            </w:r>
          </w:p>
        </w:tc>
        <w:tc>
          <w:tcPr>
            <w:tcW w:w="1170" w:type="dxa"/>
          </w:tcPr>
          <w:p w14:paraId="4A3638F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H3K4me3 vs H3K36me3</w:t>
            </w:r>
          </w:p>
        </w:tc>
        <w:tc>
          <w:tcPr>
            <w:tcW w:w="1170" w:type="dxa"/>
          </w:tcPr>
          <w:p w14:paraId="1D34AC42"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25</w:t>
            </w:r>
          </w:p>
        </w:tc>
        <w:tc>
          <w:tcPr>
            <w:tcW w:w="1170" w:type="dxa"/>
          </w:tcPr>
          <w:p w14:paraId="08C126DD"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18.46</w:t>
            </w:r>
          </w:p>
        </w:tc>
        <w:tc>
          <w:tcPr>
            <w:tcW w:w="1170" w:type="dxa"/>
          </w:tcPr>
          <w:p w14:paraId="74FC995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0.44</w:t>
            </w:r>
          </w:p>
        </w:tc>
        <w:tc>
          <w:tcPr>
            <w:tcW w:w="1170" w:type="dxa"/>
          </w:tcPr>
          <w:p w14:paraId="199298A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0.211</w:t>
            </w:r>
          </w:p>
        </w:tc>
        <w:tc>
          <w:tcPr>
            <w:tcW w:w="1170" w:type="dxa"/>
          </w:tcPr>
          <w:p w14:paraId="27F66162"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3202C0F9"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None</w:t>
            </w:r>
          </w:p>
        </w:tc>
      </w:tr>
      <w:tr w:rsidR="005E4E4D" w14:paraId="69AC50E3"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77BE9693" w14:textId="77777777" w:rsidR="005E4E4D" w:rsidRDefault="00000000">
            <w:r>
              <w:rPr>
                <w:sz w:val="14"/>
              </w:rPr>
              <w:t>Simulated</w:t>
            </w:r>
          </w:p>
        </w:tc>
        <w:tc>
          <w:tcPr>
            <w:tcW w:w="1170" w:type="dxa"/>
          </w:tcPr>
          <w:p w14:paraId="65A38501"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H3K4me3 vs H2AK5ac</w:t>
            </w:r>
          </w:p>
        </w:tc>
        <w:tc>
          <w:tcPr>
            <w:tcW w:w="1170" w:type="dxa"/>
          </w:tcPr>
          <w:p w14:paraId="4D325E1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26</w:t>
            </w:r>
          </w:p>
        </w:tc>
        <w:tc>
          <w:tcPr>
            <w:tcW w:w="1170" w:type="dxa"/>
          </w:tcPr>
          <w:p w14:paraId="20507352"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15.62</w:t>
            </w:r>
          </w:p>
        </w:tc>
        <w:tc>
          <w:tcPr>
            <w:tcW w:w="1170" w:type="dxa"/>
          </w:tcPr>
          <w:p w14:paraId="4964D7E5"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0.74</w:t>
            </w:r>
          </w:p>
        </w:tc>
        <w:tc>
          <w:tcPr>
            <w:tcW w:w="1170" w:type="dxa"/>
          </w:tcPr>
          <w:p w14:paraId="3CBB547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0.033</w:t>
            </w:r>
          </w:p>
        </w:tc>
        <w:tc>
          <w:tcPr>
            <w:tcW w:w="1170" w:type="dxa"/>
          </w:tcPr>
          <w:p w14:paraId="79A5399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52A0460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Co-occur *</w:t>
            </w:r>
          </w:p>
        </w:tc>
      </w:tr>
      <w:tr w:rsidR="005E4E4D" w14:paraId="06796F19"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12A81173" w14:textId="77777777" w:rsidR="005E4E4D" w:rsidRDefault="00000000">
            <w:r>
              <w:rPr>
                <w:sz w:val="14"/>
              </w:rPr>
              <w:t>Simulated</w:t>
            </w:r>
          </w:p>
        </w:tc>
        <w:tc>
          <w:tcPr>
            <w:tcW w:w="1170" w:type="dxa"/>
          </w:tcPr>
          <w:p w14:paraId="54B21B5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H3K27ac vs H3K9me3</w:t>
            </w:r>
          </w:p>
        </w:tc>
        <w:tc>
          <w:tcPr>
            <w:tcW w:w="1170" w:type="dxa"/>
          </w:tcPr>
          <w:p w14:paraId="4FD03CD6"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5</w:t>
            </w:r>
          </w:p>
        </w:tc>
        <w:tc>
          <w:tcPr>
            <w:tcW w:w="1170" w:type="dxa"/>
          </w:tcPr>
          <w:p w14:paraId="02BAC23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21.18</w:t>
            </w:r>
          </w:p>
        </w:tc>
        <w:tc>
          <w:tcPr>
            <w:tcW w:w="1170" w:type="dxa"/>
          </w:tcPr>
          <w:p w14:paraId="51B9CE7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-2.08</w:t>
            </w:r>
          </w:p>
        </w:tc>
        <w:tc>
          <w:tcPr>
            <w:tcW w:w="1170" w:type="dxa"/>
          </w:tcPr>
          <w:p w14:paraId="60316E56"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6362CD4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&lt;0.001</w:t>
            </w:r>
          </w:p>
        </w:tc>
        <w:tc>
          <w:tcPr>
            <w:tcW w:w="1170" w:type="dxa"/>
          </w:tcPr>
          <w:p w14:paraId="606B1109"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Avoid **</w:t>
            </w:r>
          </w:p>
        </w:tc>
      </w:tr>
      <w:tr w:rsidR="005E4E4D" w14:paraId="10200E62"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7BA7C9FA" w14:textId="77777777" w:rsidR="005E4E4D" w:rsidRDefault="00000000">
            <w:r>
              <w:rPr>
                <w:sz w:val="14"/>
              </w:rPr>
              <w:t>Simulated</w:t>
            </w:r>
          </w:p>
        </w:tc>
        <w:tc>
          <w:tcPr>
            <w:tcW w:w="1170" w:type="dxa"/>
          </w:tcPr>
          <w:p w14:paraId="6EFC68F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 xml:space="preserve">H3K27ac vs </w:t>
            </w:r>
            <w:r>
              <w:rPr>
                <w:sz w:val="14"/>
              </w:rPr>
              <w:lastRenderedPageBreak/>
              <w:t>H2AK5ac</w:t>
            </w:r>
          </w:p>
        </w:tc>
        <w:tc>
          <w:tcPr>
            <w:tcW w:w="1170" w:type="dxa"/>
          </w:tcPr>
          <w:p w14:paraId="6454A4C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lastRenderedPageBreak/>
              <w:t>36</w:t>
            </w:r>
          </w:p>
        </w:tc>
        <w:tc>
          <w:tcPr>
            <w:tcW w:w="1170" w:type="dxa"/>
          </w:tcPr>
          <w:p w14:paraId="1E422B4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16.94</w:t>
            </w:r>
          </w:p>
        </w:tc>
        <w:tc>
          <w:tcPr>
            <w:tcW w:w="1170" w:type="dxa"/>
          </w:tcPr>
          <w:p w14:paraId="6B840DF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1.09</w:t>
            </w:r>
          </w:p>
        </w:tc>
        <w:tc>
          <w:tcPr>
            <w:tcW w:w="1170" w:type="dxa"/>
          </w:tcPr>
          <w:p w14:paraId="441903F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&lt;0.001</w:t>
            </w:r>
          </w:p>
        </w:tc>
        <w:tc>
          <w:tcPr>
            <w:tcW w:w="1170" w:type="dxa"/>
          </w:tcPr>
          <w:p w14:paraId="0EB9F3F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0ED157C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Co-occur **</w:t>
            </w:r>
          </w:p>
        </w:tc>
      </w:tr>
      <w:tr w:rsidR="005E4E4D" w14:paraId="20D057EB"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38D490D5" w14:textId="77777777" w:rsidR="005E4E4D" w:rsidRDefault="00000000">
            <w:r>
              <w:rPr>
                <w:sz w:val="14"/>
              </w:rPr>
              <w:t>Simulated</w:t>
            </w:r>
          </w:p>
        </w:tc>
        <w:tc>
          <w:tcPr>
            <w:tcW w:w="1170" w:type="dxa"/>
          </w:tcPr>
          <w:p w14:paraId="4DC4FCF1"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H3K9me3 vs H3K36me3</w:t>
            </w:r>
          </w:p>
        </w:tc>
        <w:tc>
          <w:tcPr>
            <w:tcW w:w="1170" w:type="dxa"/>
          </w:tcPr>
          <w:p w14:paraId="192880EB"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w:t>
            </w:r>
          </w:p>
        </w:tc>
        <w:tc>
          <w:tcPr>
            <w:tcW w:w="1170" w:type="dxa"/>
          </w:tcPr>
          <w:p w14:paraId="41E68945"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14.30</w:t>
            </w:r>
          </w:p>
        </w:tc>
        <w:tc>
          <w:tcPr>
            <w:tcW w:w="1170" w:type="dxa"/>
          </w:tcPr>
          <w:p w14:paraId="442CE3F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-0.52</w:t>
            </w:r>
          </w:p>
        </w:tc>
        <w:tc>
          <w:tcPr>
            <w:tcW w:w="1170" w:type="dxa"/>
          </w:tcPr>
          <w:p w14:paraId="093395D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1B090C2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0.392</w:t>
            </w:r>
          </w:p>
        </w:tc>
        <w:tc>
          <w:tcPr>
            <w:tcW w:w="1170" w:type="dxa"/>
          </w:tcPr>
          <w:p w14:paraId="452468A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None</w:t>
            </w:r>
          </w:p>
        </w:tc>
      </w:tr>
      <w:tr w:rsidR="005E4E4D" w14:paraId="799BA116"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73C98625" w14:textId="77777777" w:rsidR="005E4E4D" w:rsidRDefault="00000000">
            <w:r>
              <w:rPr>
                <w:sz w:val="14"/>
              </w:rPr>
              <w:t>Simulated</w:t>
            </w:r>
          </w:p>
        </w:tc>
        <w:tc>
          <w:tcPr>
            <w:tcW w:w="1170" w:type="dxa"/>
          </w:tcPr>
          <w:p w14:paraId="152C26F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H3K9me3 vs H2AK5ac</w:t>
            </w:r>
          </w:p>
        </w:tc>
        <w:tc>
          <w:tcPr>
            <w:tcW w:w="1170" w:type="dxa"/>
          </w:tcPr>
          <w:p w14:paraId="59E080D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4</w:t>
            </w:r>
          </w:p>
        </w:tc>
        <w:tc>
          <w:tcPr>
            <w:tcW w:w="1170" w:type="dxa"/>
          </w:tcPr>
          <w:p w14:paraId="14BAA1A7"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12.10</w:t>
            </w:r>
          </w:p>
        </w:tc>
        <w:tc>
          <w:tcPr>
            <w:tcW w:w="1170" w:type="dxa"/>
          </w:tcPr>
          <w:p w14:paraId="56D84155"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-1.60</w:t>
            </w:r>
          </w:p>
        </w:tc>
        <w:tc>
          <w:tcPr>
            <w:tcW w:w="1170" w:type="dxa"/>
          </w:tcPr>
          <w:p w14:paraId="414F468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1.000</w:t>
            </w:r>
          </w:p>
        </w:tc>
        <w:tc>
          <w:tcPr>
            <w:tcW w:w="1170" w:type="dxa"/>
          </w:tcPr>
          <w:p w14:paraId="19516B0F"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0.024</w:t>
            </w:r>
          </w:p>
        </w:tc>
        <w:tc>
          <w:tcPr>
            <w:tcW w:w="1170" w:type="dxa"/>
          </w:tcPr>
          <w:p w14:paraId="6384D2E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4"/>
              </w:rPr>
              <w:t>Avoid *</w:t>
            </w:r>
          </w:p>
        </w:tc>
      </w:tr>
      <w:tr w:rsidR="005E4E4D" w14:paraId="3CFB4B04"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27FB988" w14:textId="77777777" w:rsidR="005E4E4D" w:rsidRDefault="00000000">
            <w:r>
              <w:rPr>
                <w:sz w:val="14"/>
              </w:rPr>
              <w:t>Simulated</w:t>
            </w:r>
          </w:p>
        </w:tc>
        <w:tc>
          <w:tcPr>
            <w:tcW w:w="1170" w:type="dxa"/>
          </w:tcPr>
          <w:p w14:paraId="58FD8FDD"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H3K36me3 vs H2AK5ac</w:t>
            </w:r>
          </w:p>
        </w:tc>
        <w:tc>
          <w:tcPr>
            <w:tcW w:w="1170" w:type="dxa"/>
          </w:tcPr>
          <w:p w14:paraId="1284FBF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11</w:t>
            </w:r>
          </w:p>
        </w:tc>
        <w:tc>
          <w:tcPr>
            <w:tcW w:w="1170" w:type="dxa"/>
          </w:tcPr>
          <w:p w14:paraId="12C3BF34"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11.44</w:t>
            </w:r>
          </w:p>
        </w:tc>
        <w:tc>
          <w:tcPr>
            <w:tcW w:w="1170" w:type="dxa"/>
          </w:tcPr>
          <w:p w14:paraId="7A8ADA65"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-0.06</w:t>
            </w:r>
          </w:p>
        </w:tc>
        <w:tc>
          <w:tcPr>
            <w:tcW w:w="1170" w:type="dxa"/>
          </w:tcPr>
          <w:p w14:paraId="3BE950D9"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0.986</w:t>
            </w:r>
          </w:p>
        </w:tc>
        <w:tc>
          <w:tcPr>
            <w:tcW w:w="1170" w:type="dxa"/>
          </w:tcPr>
          <w:p w14:paraId="00CF6DED"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1.000</w:t>
            </w:r>
          </w:p>
        </w:tc>
        <w:tc>
          <w:tcPr>
            <w:tcW w:w="1170" w:type="dxa"/>
          </w:tcPr>
          <w:p w14:paraId="30B8CF7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4"/>
              </w:rPr>
              <w:t>None</w:t>
            </w:r>
          </w:p>
        </w:tc>
      </w:tr>
    </w:tbl>
    <w:p w14:paraId="0F79AE70" w14:textId="77777777" w:rsidR="005E4E4D" w:rsidRDefault="005E4E4D"/>
    <w:p w14:paraId="4A25AF9E" w14:textId="77777777" w:rsidR="005E4E4D" w:rsidRDefault="00000000">
      <w:r>
        <w:t>The strongest trend was observed in HistoneDB 2.0 between many_sequences and broad_taxonomy (observed = 14 co-occurring variants, expected = 7.5 under independence, log2 fold change = 0.90, FDR-adjusted p = 0.0647). This trend approached but did not reach the significance threshold of 0.05, suggesting that histone variants with more classified sequences tend to have broader taxonomic distribution, which is biologically plausible: well-conserved variants are both more sequenced and more taxonomically widespread.</w:t>
      </w:r>
    </w:p>
    <w:p w14:paraId="22CF0B54" w14:textId="77777777" w:rsidR="005E4E4D" w:rsidRDefault="00000000">
      <w:r>
        <w:t>In Histome2, has_writer and has_eraser showed a non-significant co-occurrence trend (observed = 14 sites with both above-median counts, expected = 8.81, log2 fold change = 0.67, FDR-adjusted p = 0.194). The multi_mod mark was entirely degenerate because all 62 PTM sites had exactly one modification type, producing zero variance. This indicates a limitation of the median-split binarization approach for integer-valued features with low variance.</w:t>
      </w:r>
    </w:p>
    <w:p w14:paraId="7BF26191" w14:textId="77777777" w:rsidR="005E4E4D" w:rsidRDefault="00000000">
      <w:r>
        <w:t>In ProHistoneDB, no pair showed significant co-occurrence or avoidance. The observed counts were close to expected values for all three mark pairs, with log2 fold changes ranging from -0.17 to 0.64 and all FDR-adjusted p-values exceeding 0.5. This suggests that among proto-histone categories, sequence count, taxonomic breadth, and sequence length vary independently.</w:t>
      </w:r>
    </w:p>
    <w:p w14:paraId="1C95DF87" w14:textId="77777777" w:rsidR="005E4E4D" w:rsidRDefault="00000000">
      <w:r>
        <w:t xml:space="preserve">The simulated nucleosome data provided a striking contrast. Three co-occurrence relationships reached significance: H3K4me3 with H3K27ac (observed = 56, expected = 27.34, Log2FC = 1.04, p_adj &lt; 0.001), H3K27ac with H2AK5ac (observed = 36, expected = 16.94, Log2FC = 1.09, p_adj &lt; 0.001), and H3K4me3 with H2AK5ac (observed = 26, expected = 15.62, Log2FC = 0.74, p_adj = 0.033). Three avoidance relationships also reached significance: H3K4me3 with H3K9me3 (observed = 4, expected = 19.53, Log2FC = -2.29, p_adj &lt; 0.001), H3K27ac with H3K9me3 (observed = 5, expected = 21.18, Log2FC = -2.08, p_adj &lt; 0.001), and H3K9me3 with H2AK5ac (observed = 4, expected = 12.10, Log2FC = -1.60, p_adj = 0.024) (Table 1). These results are fully consistent with the embedded biological rules, confirming that the Poisson </w:t>
      </w:r>
      <w:r>
        <w:lastRenderedPageBreak/>
        <w:t>test with FDR correction correctly detects known co-occurrence and avoidance patterns when they exist.</w:t>
      </w:r>
    </w:p>
    <w:p w14:paraId="3CAD0E71" w14:textId="77777777" w:rsidR="005E4E4D" w:rsidRDefault="00000000">
      <w:r>
        <w:t>The co-occurrence of H3K4me3 with H3K27ac reflects their shared role in marking active promoters and enhancers. The additional co-occurrence of H2AK5ac with both marks is an indirect consequence of its conditional dependence on H3K27ac. The avoidance of H3K9me3 with all active marks (H3K4me3, H3K27ac, and H2AK5ac) reflects the mutual exclusion between active and repressive chromatin domains. H3K36me3, which was modeled as independent, correctly showed no significant interactions, demonstrating specificity.</w:t>
      </w:r>
    </w:p>
    <w:p w14:paraId="560FDB11" w14:textId="77777777" w:rsidR="005E4E4D" w:rsidRDefault="00000000">
      <w:pPr>
        <w:jc w:val="center"/>
      </w:pPr>
      <w:r>
        <w:rPr>
          <w:noProof/>
        </w:rPr>
        <w:lastRenderedPageBreak/>
        <w:drawing>
          <wp:inline distT="0" distB="0" distL="0" distR="0" wp14:anchorId="6A7C52C7" wp14:editId="3E808B1D">
            <wp:extent cx="5029200" cy="5896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b_cooccurrence_heatmap.png"/>
                    <pic:cNvPicPr/>
                  </pic:nvPicPr>
                  <pic:blipFill>
                    <a:blip r:embed="rId7"/>
                    <a:stretch>
                      <a:fillRect/>
                    </a:stretch>
                  </pic:blipFill>
                  <pic:spPr>
                    <a:xfrm>
                      <a:off x="0" y="0"/>
                      <a:ext cx="5029200" cy="5896513"/>
                    </a:xfrm>
                    <a:prstGeom prst="rect">
                      <a:avLst/>
                    </a:prstGeom>
                  </pic:spPr>
                </pic:pic>
              </a:graphicData>
            </a:graphic>
          </wp:inline>
        </w:drawing>
      </w:r>
    </w:p>
    <w:p w14:paraId="39540919" w14:textId="77777777" w:rsidR="005E4E4D" w:rsidRDefault="00000000">
      <w:r>
        <w:rPr>
          <w:i/>
          <w:sz w:val="20"/>
        </w:rPr>
        <w:t>Figure: Co-occurrence heatmaps for Histome2, HistoneDB 2.0, ProHistoneDB, and Simulated data. Columns show observed co-occurrence, expected under independence, and the difference. Asterisks (*) mark significant co-occurrence; daggers (dag) mark significant avoidance. Only the Simulated panel shows significant relationships (FDR-corrected alpha = 0.05).</w:t>
      </w:r>
    </w:p>
    <w:p w14:paraId="67EDC977" w14:textId="77777777" w:rsidR="005E4E4D" w:rsidRDefault="005E4E4D"/>
    <w:p w14:paraId="2856BBB7" w14:textId="77777777" w:rsidR="005E4E4D" w:rsidRDefault="00000000">
      <w:pPr>
        <w:jc w:val="center"/>
      </w:pPr>
      <w:r>
        <w:rPr>
          <w:noProof/>
        </w:rPr>
        <w:lastRenderedPageBreak/>
        <w:drawing>
          <wp:inline distT="0" distB="0" distL="0" distR="0" wp14:anchorId="6465A3CF" wp14:editId="2A4A38F5">
            <wp:extent cx="5029200" cy="1323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b_network_comparison.png"/>
                    <pic:cNvPicPr/>
                  </pic:nvPicPr>
                  <pic:blipFill>
                    <a:blip r:embed="rId8"/>
                    <a:stretch>
                      <a:fillRect/>
                    </a:stretch>
                  </pic:blipFill>
                  <pic:spPr>
                    <a:xfrm>
                      <a:off x="0" y="0"/>
                      <a:ext cx="5029200" cy="1323429"/>
                    </a:xfrm>
                    <a:prstGeom prst="rect">
                      <a:avLst/>
                    </a:prstGeom>
                  </pic:spPr>
                </pic:pic>
              </a:graphicData>
            </a:graphic>
          </wp:inline>
        </w:drawing>
      </w:r>
    </w:p>
    <w:p w14:paraId="226C1B06" w14:textId="77777777" w:rsidR="005E4E4D" w:rsidRDefault="00000000">
      <w:r>
        <w:rPr>
          <w:i/>
          <w:sz w:val="20"/>
        </w:rPr>
        <w:t>Figure: Co-occurrence and avoidance networks for each data source. Green edges represent significant co-occurrence; red dashed edges represent significant avoidance. No edges reached statistical significance in the three real databases. The Simulated network shows three co-occurrence edges (H3K4me3-H3K27ac, H3K27ac-H2AK5ac, H3K4me3-H2AK5ac) and three avoidance edges (H3K4me3-H3K9me3, H3K27ac-H3K9me3, H3K9me3-H2AK5ac).</w:t>
      </w:r>
    </w:p>
    <w:p w14:paraId="285569DB" w14:textId="77777777" w:rsidR="005E4E4D" w:rsidRDefault="005E4E4D"/>
    <w:p w14:paraId="6FCAC4A2" w14:textId="77777777" w:rsidR="005E4E4D" w:rsidRDefault="00000000">
      <w:pPr>
        <w:pStyle w:val="Heading2"/>
      </w:pPr>
      <w:r>
        <w:rPr>
          <w:rFonts w:ascii="Times New Roman" w:hAnsi="Times New Roman"/>
          <w:color w:val="000000"/>
        </w:rPr>
        <w:t>3.3. Database Benchmarking Summary</w:t>
      </w:r>
    </w:p>
    <w:p w14:paraId="50E65F08" w14:textId="77777777" w:rsidR="005E4E4D" w:rsidRDefault="00000000">
      <w:r>
        <w:t>Table 2 summarizes the key characteristics and results across the three databases and the simulated control. HistoneDB 2.0 provided the largest effect size (Log2FC = 0.90 for the many_sequences vs broad_taxonomy pair) and the lowest p-value (0.0647) among real databases, suggesting it may be the most informative for co-occurrence analysis with the current encoding scheme. Histome2's multi_mod feature was degenerate, revealing a limitation when binarizing features with naturally low variance. ProHistoneDB showed the most independent mark behavior. The simulated data, serving as a positive control, correctly recovered 6 significant relationships (3 co-occurrence, 3 avoidance) out of 10 possible pairs, with Log2FC magnitudes up to -2.29 (H3K4me3 vs H3K9me3 avoidance).</w:t>
      </w:r>
    </w:p>
    <w:p w14:paraId="30D88A34" w14:textId="77777777" w:rsidR="005E4E4D" w:rsidRDefault="00000000">
      <w:r>
        <w:rPr>
          <w:b/>
          <w:sz w:val="20"/>
        </w:rPr>
        <w:t>Table 2. Comparative summary of data source characteristics and benchmarking results.</w:t>
      </w:r>
    </w:p>
    <w:p w14:paraId="7E3AADA0" w14:textId="77777777" w:rsidR="005E4E4D" w:rsidRDefault="005E4E4D"/>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5E4E4D" w14:paraId="7AABA400" w14:textId="77777777" w:rsidTr="005E4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C23D0EE" w14:textId="77777777" w:rsidR="005E4E4D" w:rsidRDefault="00000000">
            <w:r>
              <w:rPr>
                <w:sz w:val="18"/>
              </w:rPr>
              <w:t>Feature</w:t>
            </w:r>
          </w:p>
        </w:tc>
        <w:tc>
          <w:tcPr>
            <w:tcW w:w="1872" w:type="dxa"/>
          </w:tcPr>
          <w:p w14:paraId="75131366"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Histome2</w:t>
            </w:r>
          </w:p>
        </w:tc>
        <w:tc>
          <w:tcPr>
            <w:tcW w:w="1872" w:type="dxa"/>
          </w:tcPr>
          <w:p w14:paraId="77DC2131"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HistoneDB 2.0</w:t>
            </w:r>
          </w:p>
        </w:tc>
        <w:tc>
          <w:tcPr>
            <w:tcW w:w="1872" w:type="dxa"/>
          </w:tcPr>
          <w:p w14:paraId="52F25FA4"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ProHistoneDB</w:t>
            </w:r>
          </w:p>
        </w:tc>
        <w:tc>
          <w:tcPr>
            <w:tcW w:w="1872" w:type="dxa"/>
          </w:tcPr>
          <w:p w14:paraId="374C06BF"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Simulated</w:t>
            </w:r>
          </w:p>
        </w:tc>
      </w:tr>
      <w:tr w:rsidR="005E4E4D" w14:paraId="11BC0DA4"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5BF934E" w14:textId="77777777" w:rsidR="005E4E4D" w:rsidRDefault="00000000">
            <w:r>
              <w:rPr>
                <w:sz w:val="16"/>
              </w:rPr>
              <w:t>N (samples)</w:t>
            </w:r>
          </w:p>
        </w:tc>
        <w:tc>
          <w:tcPr>
            <w:tcW w:w="1872" w:type="dxa"/>
          </w:tcPr>
          <w:p w14:paraId="4182E231"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62 PTM sites</w:t>
            </w:r>
          </w:p>
        </w:tc>
        <w:tc>
          <w:tcPr>
            <w:tcW w:w="1872" w:type="dxa"/>
          </w:tcPr>
          <w:p w14:paraId="552C36E2"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30 histone variants</w:t>
            </w:r>
          </w:p>
        </w:tc>
        <w:tc>
          <w:tcPr>
            <w:tcW w:w="1872" w:type="dxa"/>
          </w:tcPr>
          <w:p w14:paraId="1C426813"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24 proto-histone categories</w:t>
            </w:r>
          </w:p>
        </w:tc>
        <w:tc>
          <w:tcPr>
            <w:tcW w:w="1872" w:type="dxa"/>
          </w:tcPr>
          <w:p w14:paraId="3A9F70E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200 nucleosomes</w:t>
            </w:r>
          </w:p>
        </w:tc>
      </w:tr>
      <w:tr w:rsidR="005E4E4D" w14:paraId="35731E29"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6640260" w14:textId="77777777" w:rsidR="005E4E4D" w:rsidRDefault="00000000">
            <w:r>
              <w:rPr>
                <w:sz w:val="16"/>
              </w:rPr>
              <w:t>Biological domain</w:t>
            </w:r>
          </w:p>
        </w:tc>
        <w:tc>
          <w:tcPr>
            <w:tcW w:w="1872" w:type="dxa"/>
          </w:tcPr>
          <w:p w14:paraId="75BC06B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Human (Homo sapiens)</w:t>
            </w:r>
          </w:p>
        </w:tc>
        <w:tc>
          <w:tcPr>
            <w:tcW w:w="1872" w:type="dxa"/>
          </w:tcPr>
          <w:p w14:paraId="495BC08D"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All taxa (HMM classified)</w:t>
            </w:r>
          </w:p>
        </w:tc>
        <w:tc>
          <w:tcPr>
            <w:tcW w:w="1872" w:type="dxa"/>
          </w:tcPr>
          <w:p w14:paraId="5FF6C21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Archaea, Bacteria, viruses</w:t>
            </w:r>
          </w:p>
        </w:tc>
        <w:tc>
          <w:tcPr>
            <w:tcW w:w="1872" w:type="dxa"/>
          </w:tcPr>
          <w:p w14:paraId="18815A55"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Synthetic (rules-based)</w:t>
            </w:r>
          </w:p>
        </w:tc>
      </w:tr>
      <w:tr w:rsidR="005E4E4D" w14:paraId="60B84A7B"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C58D5FA" w14:textId="77777777" w:rsidR="005E4E4D" w:rsidRDefault="00000000">
            <w:r>
              <w:rPr>
                <w:sz w:val="16"/>
              </w:rPr>
              <w:t>Significant pairs</w:t>
            </w:r>
          </w:p>
        </w:tc>
        <w:tc>
          <w:tcPr>
            <w:tcW w:w="1872" w:type="dxa"/>
          </w:tcPr>
          <w:p w14:paraId="17158B73"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0</w:t>
            </w:r>
          </w:p>
        </w:tc>
        <w:tc>
          <w:tcPr>
            <w:tcW w:w="1872" w:type="dxa"/>
          </w:tcPr>
          <w:p w14:paraId="3093740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0</w:t>
            </w:r>
          </w:p>
        </w:tc>
        <w:tc>
          <w:tcPr>
            <w:tcW w:w="1872" w:type="dxa"/>
          </w:tcPr>
          <w:p w14:paraId="23D6DB5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0</w:t>
            </w:r>
          </w:p>
        </w:tc>
        <w:tc>
          <w:tcPr>
            <w:tcW w:w="1872" w:type="dxa"/>
          </w:tcPr>
          <w:p w14:paraId="04A8F47E"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6 (3 co-occur, 3 avoid)</w:t>
            </w:r>
          </w:p>
        </w:tc>
      </w:tr>
      <w:tr w:rsidR="005E4E4D" w14:paraId="1F394306"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90E402E" w14:textId="77777777" w:rsidR="005E4E4D" w:rsidRDefault="00000000">
            <w:r>
              <w:rPr>
                <w:sz w:val="16"/>
              </w:rPr>
              <w:t>Best effect size</w:t>
            </w:r>
          </w:p>
        </w:tc>
        <w:tc>
          <w:tcPr>
            <w:tcW w:w="1872" w:type="dxa"/>
          </w:tcPr>
          <w:p w14:paraId="52C0E2F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has_writer vs has_eraser</w:t>
            </w:r>
            <w:r>
              <w:rPr>
                <w:sz w:val="16"/>
              </w:rPr>
              <w:br/>
              <w:t>(p_adj = 0.194, LFC=0.67)</w:t>
            </w:r>
          </w:p>
        </w:tc>
        <w:tc>
          <w:tcPr>
            <w:tcW w:w="1872" w:type="dxa"/>
          </w:tcPr>
          <w:p w14:paraId="4CD0687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many_seq vs broad_tax</w:t>
            </w:r>
            <w:r>
              <w:rPr>
                <w:sz w:val="16"/>
              </w:rPr>
              <w:br/>
              <w:t>(p_adj = 0.065, LFC=0.90)</w:t>
            </w:r>
          </w:p>
        </w:tc>
        <w:tc>
          <w:tcPr>
            <w:tcW w:w="1872" w:type="dxa"/>
          </w:tcPr>
          <w:p w14:paraId="72454AD0"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many_seq vs broad_tax</w:t>
            </w:r>
            <w:r>
              <w:rPr>
                <w:sz w:val="16"/>
              </w:rPr>
              <w:br/>
              <w:t>(p_adj = 0.507, LFC=0.64)</w:t>
            </w:r>
          </w:p>
        </w:tc>
        <w:tc>
          <w:tcPr>
            <w:tcW w:w="1872" w:type="dxa"/>
          </w:tcPr>
          <w:p w14:paraId="675411BC"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H3K4me3 vs H3K27ac</w:t>
            </w:r>
            <w:r>
              <w:rPr>
                <w:sz w:val="16"/>
              </w:rPr>
              <w:br/>
              <w:t>(p_adj&lt;0.001, LFC=1.04)</w:t>
            </w:r>
          </w:p>
        </w:tc>
      </w:tr>
    </w:tbl>
    <w:p w14:paraId="72CCFBF8" w14:textId="77777777" w:rsidR="005E4E4D" w:rsidRDefault="005E4E4D"/>
    <w:p w14:paraId="3CEB3B2D" w14:textId="77777777" w:rsidR="005E4E4D" w:rsidRDefault="00000000">
      <w:pPr>
        <w:pStyle w:val="Heading2"/>
      </w:pPr>
      <w:r>
        <w:rPr>
          <w:rFonts w:ascii="Times New Roman" w:hAnsi="Times New Roman"/>
          <w:color w:val="000000"/>
        </w:rPr>
        <w:t>3.4. Histone Marks in Coronavirus Infection</w:t>
      </w:r>
    </w:p>
    <w:p w14:paraId="2749FE59" w14:textId="77777777" w:rsidR="005E4E4D" w:rsidRDefault="00000000">
      <w:r>
        <w:t>Literature synthesis from the Coronavirus_Vault corpus identified 12 distinct histone mark-virus associations across four coronavirus species. Five types of PTMs were represented: methylation, acetylation, citrullination, phosphorylation, and glutathionylation, along with two types of histone truncation events. SARS-CoV-2 accounted for the majority of reported marks (8 of 12), reflecting the intensive research focus on this virus. HCoV-229E was associated with 5 marks, predominantly identified through top-down proteomics [7]. MERS-CoV and SARS-CoV each contributed 2 marks, primarily related to ISG suppression.</w:t>
      </w:r>
    </w:p>
    <w:p w14:paraId="5CAF5D5E" w14:textId="77777777" w:rsidR="005E4E4D" w:rsidRDefault="00000000">
      <w:r>
        <w:rPr>
          <w:b/>
          <w:sz w:val="20"/>
        </w:rPr>
        <w:t>Table 3. Histone marks altered during coronavirus infection.</w:t>
      </w:r>
    </w:p>
    <w:p w14:paraId="4E9DD276" w14:textId="77777777" w:rsidR="005E4E4D" w:rsidRDefault="005E4E4D"/>
    <w:tbl>
      <w:tblPr>
        <w:tblStyle w:val="LightGrid-Accent1"/>
        <w:tblW w:w="0" w:type="auto"/>
        <w:jc w:val="center"/>
        <w:tblLook w:val="04A0" w:firstRow="1" w:lastRow="0" w:firstColumn="1" w:lastColumn="0" w:noHBand="0" w:noVBand="1"/>
      </w:tblPr>
      <w:tblGrid>
        <w:gridCol w:w="2340"/>
        <w:gridCol w:w="2340"/>
        <w:gridCol w:w="2340"/>
        <w:gridCol w:w="2340"/>
      </w:tblGrid>
      <w:tr w:rsidR="005E4E4D" w14:paraId="1A00DF6B" w14:textId="77777777" w:rsidTr="005E4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9FE79D" w14:textId="77777777" w:rsidR="005E4E4D" w:rsidRDefault="00000000">
            <w:r>
              <w:rPr>
                <w:sz w:val="18"/>
              </w:rPr>
              <w:t>Modification Type</w:t>
            </w:r>
          </w:p>
        </w:tc>
        <w:tc>
          <w:tcPr>
            <w:tcW w:w="2340" w:type="dxa"/>
          </w:tcPr>
          <w:p w14:paraId="6C853757"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Mark Code</w:t>
            </w:r>
          </w:p>
        </w:tc>
        <w:tc>
          <w:tcPr>
            <w:tcW w:w="2340" w:type="dxa"/>
          </w:tcPr>
          <w:p w14:paraId="4DA9057B"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Virus</w:t>
            </w:r>
          </w:p>
        </w:tc>
        <w:tc>
          <w:tcPr>
            <w:tcW w:w="2340" w:type="dxa"/>
          </w:tcPr>
          <w:p w14:paraId="684429B4" w14:textId="77777777" w:rsidR="005E4E4D" w:rsidRDefault="00000000">
            <w:pPr>
              <w:cnfStyle w:val="100000000000" w:firstRow="1" w:lastRow="0" w:firstColumn="0" w:lastColumn="0" w:oddVBand="0" w:evenVBand="0" w:oddHBand="0" w:evenHBand="0" w:firstRowFirstColumn="0" w:firstRowLastColumn="0" w:lastRowFirstColumn="0" w:lastRowLastColumn="0"/>
            </w:pPr>
            <w:r>
              <w:rPr>
                <w:sz w:val="18"/>
              </w:rPr>
              <w:t>Functional Annotation</w:t>
            </w:r>
          </w:p>
        </w:tc>
      </w:tr>
      <w:tr w:rsidR="005E4E4D" w14:paraId="135687B3"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87DD78" w14:textId="77777777" w:rsidR="005E4E4D" w:rsidRDefault="00000000">
            <w:r>
              <w:rPr>
                <w:sz w:val="16"/>
              </w:rPr>
              <w:t>Methylation</w:t>
            </w:r>
          </w:p>
        </w:tc>
        <w:tc>
          <w:tcPr>
            <w:tcW w:w="2340" w:type="dxa"/>
          </w:tcPr>
          <w:p w14:paraId="2D48170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H3K9me3, H3K27me3</w:t>
            </w:r>
          </w:p>
        </w:tc>
        <w:tc>
          <w:tcPr>
            <w:tcW w:w="2340" w:type="dxa"/>
          </w:tcPr>
          <w:p w14:paraId="41A7C6C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SARS-CoV-2, MERS-CoV</w:t>
            </w:r>
          </w:p>
        </w:tc>
        <w:tc>
          <w:tcPr>
            <w:tcW w:w="2340" w:type="dxa"/>
          </w:tcPr>
          <w:p w14:paraId="5C8271D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ORF8 increases repressive marks to silence antiviral genes</w:t>
            </w:r>
          </w:p>
        </w:tc>
      </w:tr>
      <w:tr w:rsidR="005E4E4D" w14:paraId="4A041C23"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A086C9" w14:textId="77777777" w:rsidR="005E4E4D" w:rsidRDefault="00000000">
            <w:r>
              <w:rPr>
                <w:sz w:val="16"/>
              </w:rPr>
              <w:t>Methylation</w:t>
            </w:r>
          </w:p>
        </w:tc>
        <w:tc>
          <w:tcPr>
            <w:tcW w:w="2340" w:type="dxa"/>
          </w:tcPr>
          <w:p w14:paraId="1E5FC608"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H3K4me3</w:t>
            </w:r>
          </w:p>
        </w:tc>
        <w:tc>
          <w:tcPr>
            <w:tcW w:w="2340" w:type="dxa"/>
          </w:tcPr>
          <w:p w14:paraId="5B3CE1D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SARS-CoV-2, SARS-CoV</w:t>
            </w:r>
          </w:p>
        </w:tc>
        <w:tc>
          <w:tcPr>
            <w:tcW w:w="2340" w:type="dxa"/>
          </w:tcPr>
          <w:p w14:paraId="49B1EDF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Active promoter mark; depleted at ISG promoters in MERS-CoV</w:t>
            </w:r>
          </w:p>
        </w:tc>
      </w:tr>
      <w:tr w:rsidR="005E4E4D" w14:paraId="457D6D9A"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AB85604" w14:textId="77777777" w:rsidR="005E4E4D" w:rsidRDefault="00000000">
            <w:r>
              <w:rPr>
                <w:sz w:val="16"/>
              </w:rPr>
              <w:t>Methylation</w:t>
            </w:r>
          </w:p>
        </w:tc>
        <w:tc>
          <w:tcPr>
            <w:tcW w:w="2340" w:type="dxa"/>
          </w:tcPr>
          <w:p w14:paraId="2CC88F2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H3K9me2</w:t>
            </w:r>
          </w:p>
        </w:tc>
        <w:tc>
          <w:tcPr>
            <w:tcW w:w="2340" w:type="dxa"/>
          </w:tcPr>
          <w:p w14:paraId="252796E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SARS-CoV-2</w:t>
            </w:r>
          </w:p>
        </w:tc>
        <w:tc>
          <w:tcPr>
            <w:tcW w:w="2340" w:type="dxa"/>
          </w:tcPr>
          <w:p w14:paraId="7AD4819D"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Inversely correlates with interferon expression</w:t>
            </w:r>
          </w:p>
        </w:tc>
      </w:tr>
      <w:tr w:rsidR="005E4E4D" w14:paraId="407338C8"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7E299AA" w14:textId="77777777" w:rsidR="005E4E4D" w:rsidRDefault="00000000">
            <w:r>
              <w:rPr>
                <w:sz w:val="16"/>
              </w:rPr>
              <w:t>Acetylation</w:t>
            </w:r>
          </w:p>
        </w:tc>
        <w:tc>
          <w:tcPr>
            <w:tcW w:w="2340" w:type="dxa"/>
          </w:tcPr>
          <w:p w14:paraId="4B2DFE1A"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H3K9ac, H3K14ac</w:t>
            </w:r>
          </w:p>
        </w:tc>
        <w:tc>
          <w:tcPr>
            <w:tcW w:w="2340" w:type="dxa"/>
          </w:tcPr>
          <w:p w14:paraId="3E7A022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SARS-CoV-2</w:t>
            </w:r>
          </w:p>
        </w:tc>
        <w:tc>
          <w:tcPr>
            <w:tcW w:w="2340" w:type="dxa"/>
          </w:tcPr>
          <w:p w14:paraId="69B0D89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Decreased by ORF8 to weaken IFN response</w:t>
            </w:r>
          </w:p>
        </w:tc>
      </w:tr>
      <w:tr w:rsidR="005E4E4D" w14:paraId="2681C4A0"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F563583" w14:textId="77777777" w:rsidR="005E4E4D" w:rsidRDefault="00000000">
            <w:r>
              <w:rPr>
                <w:sz w:val="16"/>
              </w:rPr>
              <w:t>Acetylation</w:t>
            </w:r>
          </w:p>
        </w:tc>
        <w:tc>
          <w:tcPr>
            <w:tcW w:w="2340" w:type="dxa"/>
          </w:tcPr>
          <w:p w14:paraId="494FA8CC"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H3K27ac</w:t>
            </w:r>
          </w:p>
        </w:tc>
        <w:tc>
          <w:tcPr>
            <w:tcW w:w="2340" w:type="dxa"/>
          </w:tcPr>
          <w:p w14:paraId="100B7B85"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SARS-CoV-2</w:t>
            </w:r>
          </w:p>
        </w:tc>
        <w:tc>
          <w:tcPr>
            <w:tcW w:w="2340" w:type="dxa"/>
          </w:tcPr>
          <w:p w14:paraId="238E55E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ACE2 regulation; impacts viral entry</w:t>
            </w:r>
          </w:p>
        </w:tc>
      </w:tr>
      <w:tr w:rsidR="005E4E4D" w14:paraId="3557E693"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B60FBD3" w14:textId="77777777" w:rsidR="005E4E4D" w:rsidRDefault="00000000">
            <w:r>
              <w:rPr>
                <w:sz w:val="16"/>
              </w:rPr>
              <w:t>Acetylation</w:t>
            </w:r>
          </w:p>
        </w:tc>
        <w:tc>
          <w:tcPr>
            <w:tcW w:w="2340" w:type="dxa"/>
          </w:tcPr>
          <w:p w14:paraId="32A9B55B"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H2AX-K6ac</w:t>
            </w:r>
          </w:p>
        </w:tc>
        <w:tc>
          <w:tcPr>
            <w:tcW w:w="2340" w:type="dxa"/>
          </w:tcPr>
          <w:p w14:paraId="339F2685"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HCoV-229E</w:t>
            </w:r>
          </w:p>
        </w:tc>
        <w:tc>
          <w:tcPr>
            <w:tcW w:w="2340" w:type="dxa"/>
          </w:tcPr>
          <w:p w14:paraId="7B959A9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DNA damage response; decreased during infection</w:t>
            </w:r>
          </w:p>
        </w:tc>
      </w:tr>
      <w:tr w:rsidR="005E4E4D" w14:paraId="0EA069A4"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83561E8" w14:textId="77777777" w:rsidR="005E4E4D" w:rsidRDefault="00000000">
            <w:r>
              <w:rPr>
                <w:sz w:val="16"/>
              </w:rPr>
              <w:t>Citrullination</w:t>
            </w:r>
          </w:p>
        </w:tc>
        <w:tc>
          <w:tcPr>
            <w:tcW w:w="2340" w:type="dxa"/>
          </w:tcPr>
          <w:p w14:paraId="02F9C638"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Cit-H3</w:t>
            </w:r>
          </w:p>
        </w:tc>
        <w:tc>
          <w:tcPr>
            <w:tcW w:w="2340" w:type="dxa"/>
          </w:tcPr>
          <w:p w14:paraId="43360A0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SARS-CoV-2</w:t>
            </w:r>
          </w:p>
        </w:tc>
        <w:tc>
          <w:tcPr>
            <w:tcW w:w="2340" w:type="dxa"/>
          </w:tcPr>
          <w:p w14:paraId="0B2B13B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NETosis marker; predicts 28-day mortality</w:t>
            </w:r>
          </w:p>
        </w:tc>
      </w:tr>
      <w:tr w:rsidR="005E4E4D" w14:paraId="523A859A"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016C5B" w14:textId="77777777" w:rsidR="005E4E4D" w:rsidRDefault="00000000">
            <w:r>
              <w:rPr>
                <w:sz w:val="16"/>
              </w:rPr>
              <w:t>Phosphorylation</w:t>
            </w:r>
          </w:p>
        </w:tc>
        <w:tc>
          <w:tcPr>
            <w:tcW w:w="2340" w:type="dxa"/>
          </w:tcPr>
          <w:p w14:paraId="40A6A63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H2AC11-T17ph</w:t>
            </w:r>
          </w:p>
        </w:tc>
        <w:tc>
          <w:tcPr>
            <w:tcW w:w="2340" w:type="dxa"/>
          </w:tcPr>
          <w:p w14:paraId="5444616E"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HCoV-229E</w:t>
            </w:r>
          </w:p>
        </w:tc>
        <w:tc>
          <w:tcPr>
            <w:tcW w:w="2340" w:type="dxa"/>
          </w:tcPr>
          <w:p w14:paraId="5E5A88AF"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Oxidative stress marker</w:t>
            </w:r>
          </w:p>
        </w:tc>
      </w:tr>
      <w:tr w:rsidR="005E4E4D" w14:paraId="3281996A"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245198" w14:textId="77777777" w:rsidR="005E4E4D" w:rsidRDefault="00000000">
            <w:r>
              <w:rPr>
                <w:sz w:val="16"/>
              </w:rPr>
              <w:t>Phosphorylation</w:t>
            </w:r>
          </w:p>
        </w:tc>
        <w:tc>
          <w:tcPr>
            <w:tcW w:w="2340" w:type="dxa"/>
          </w:tcPr>
          <w:p w14:paraId="4E5AF63B"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H3S10ph</w:t>
            </w:r>
          </w:p>
        </w:tc>
        <w:tc>
          <w:tcPr>
            <w:tcW w:w="2340" w:type="dxa"/>
          </w:tcPr>
          <w:p w14:paraId="12A51040"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SARS-CoV-2</w:t>
            </w:r>
          </w:p>
        </w:tc>
        <w:tc>
          <w:tcPr>
            <w:tcW w:w="2340" w:type="dxa"/>
          </w:tcPr>
          <w:p w14:paraId="616D206B"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Cell cycle marker</w:t>
            </w:r>
          </w:p>
        </w:tc>
      </w:tr>
      <w:tr w:rsidR="005E4E4D" w14:paraId="79FCD025"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E74A9B" w14:textId="77777777" w:rsidR="005E4E4D" w:rsidRDefault="00000000">
            <w:r>
              <w:rPr>
                <w:sz w:val="16"/>
              </w:rPr>
              <w:t>Glutathionylation</w:t>
            </w:r>
          </w:p>
        </w:tc>
        <w:tc>
          <w:tcPr>
            <w:tcW w:w="2340" w:type="dxa"/>
          </w:tcPr>
          <w:p w14:paraId="3425E0A5"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H3C1 (C97/C111)</w:t>
            </w:r>
          </w:p>
        </w:tc>
        <w:tc>
          <w:tcPr>
            <w:tcW w:w="2340" w:type="dxa"/>
          </w:tcPr>
          <w:p w14:paraId="2C27E698"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HCoV-229E</w:t>
            </w:r>
          </w:p>
        </w:tc>
        <w:tc>
          <w:tcPr>
            <w:tcW w:w="2340" w:type="dxa"/>
          </w:tcPr>
          <w:p w14:paraId="11C62818"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Nucleosome destabilization</w:t>
            </w:r>
          </w:p>
        </w:tc>
      </w:tr>
      <w:tr w:rsidR="005E4E4D" w14:paraId="0CF16C3D" w14:textId="77777777" w:rsidTr="005E4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2CA1AD1" w14:textId="77777777" w:rsidR="005E4E4D" w:rsidRDefault="00000000">
            <w:r>
              <w:rPr>
                <w:sz w:val="16"/>
              </w:rPr>
              <w:t>Truncation</w:t>
            </w:r>
          </w:p>
        </w:tc>
        <w:tc>
          <w:tcPr>
            <w:tcW w:w="2340" w:type="dxa"/>
          </w:tcPr>
          <w:p w14:paraId="4E73BC09"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C-truncated H2A</w:t>
            </w:r>
          </w:p>
        </w:tc>
        <w:tc>
          <w:tcPr>
            <w:tcW w:w="2340" w:type="dxa"/>
          </w:tcPr>
          <w:p w14:paraId="490185B4"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HCoV-229E</w:t>
            </w:r>
          </w:p>
        </w:tc>
        <w:tc>
          <w:tcPr>
            <w:tcW w:w="2340" w:type="dxa"/>
          </w:tcPr>
          <w:p w14:paraId="5A731B76" w14:textId="77777777" w:rsidR="005E4E4D" w:rsidRDefault="00000000">
            <w:pPr>
              <w:cnfStyle w:val="000000100000" w:firstRow="0" w:lastRow="0" w:firstColumn="0" w:lastColumn="0" w:oddVBand="0" w:evenVBand="0" w:oddHBand="1" w:evenHBand="0" w:firstRowFirstColumn="0" w:firstRowLastColumn="0" w:lastRowFirstColumn="0" w:lastRowLastColumn="0"/>
            </w:pPr>
            <w:r>
              <w:rPr>
                <w:sz w:val="16"/>
              </w:rPr>
              <w:t>Reduced abundance during infection</w:t>
            </w:r>
          </w:p>
        </w:tc>
      </w:tr>
      <w:tr w:rsidR="005E4E4D" w14:paraId="24ACB003" w14:textId="77777777" w:rsidTr="005E4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4D228FE" w14:textId="77777777" w:rsidR="005E4E4D" w:rsidRDefault="00000000">
            <w:r>
              <w:rPr>
                <w:sz w:val="16"/>
              </w:rPr>
              <w:t>Truncation</w:t>
            </w:r>
          </w:p>
        </w:tc>
        <w:tc>
          <w:tcPr>
            <w:tcW w:w="2340" w:type="dxa"/>
          </w:tcPr>
          <w:p w14:paraId="2D7B6108"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N-truncated H3</w:t>
            </w:r>
          </w:p>
        </w:tc>
        <w:tc>
          <w:tcPr>
            <w:tcW w:w="2340" w:type="dxa"/>
          </w:tcPr>
          <w:p w14:paraId="714631B1"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HCoV-229E</w:t>
            </w:r>
          </w:p>
        </w:tc>
        <w:tc>
          <w:tcPr>
            <w:tcW w:w="2340" w:type="dxa"/>
          </w:tcPr>
          <w:p w14:paraId="2CED3F93" w14:textId="77777777" w:rsidR="005E4E4D" w:rsidRDefault="00000000">
            <w:pPr>
              <w:cnfStyle w:val="000000010000" w:firstRow="0" w:lastRow="0" w:firstColumn="0" w:lastColumn="0" w:oddVBand="0" w:evenVBand="0" w:oddHBand="0" w:evenHBand="1" w:firstRowFirstColumn="0" w:firstRowLastColumn="0" w:lastRowFirstColumn="0" w:lastRowLastColumn="0"/>
            </w:pPr>
            <w:r>
              <w:rPr>
                <w:sz w:val="16"/>
              </w:rPr>
              <w:t>Cleaved at R27/K28; reduced abundance</w:t>
            </w:r>
          </w:p>
        </w:tc>
      </w:tr>
    </w:tbl>
    <w:p w14:paraId="0FE9331E" w14:textId="77777777" w:rsidR="005E4E4D" w:rsidRDefault="005E4E4D"/>
    <w:p w14:paraId="005AB914" w14:textId="77777777" w:rsidR="005E4E4D" w:rsidRDefault="00000000">
      <w:pPr>
        <w:pStyle w:val="Heading2"/>
      </w:pPr>
      <w:r>
        <w:rPr>
          <w:rFonts w:ascii="Times New Roman" w:hAnsi="Times New Roman"/>
          <w:color w:val="000000"/>
        </w:rPr>
        <w:lastRenderedPageBreak/>
        <w:t>3.5. Molecular Mechanisms of Histone-Mediated Tissue Damage</w:t>
      </w:r>
    </w:p>
    <w:p w14:paraId="337AEA11" w14:textId="77777777" w:rsidR="005E4E4D" w:rsidRDefault="00000000">
      <w:r>
        <w:t>Five distinct but interconnected mechanisms of histone-mediated tissue damage during coronavirus infection were identified from the literature synthesis. Mechanism 1: Direct membrane disruption. Histone H4 behaves as a molecular detergent, intercalating into plasma membranes to form lytic pores and triggering mitochondrial outer membrane permeabilization (MOMP), leading to cytochrome c release and apoptosome activation [8]. Mechanism 2: Ionic dyshomeostasis. Histones, particularly H1, activate nonselective cation channels, causing massive calcium influx from both extracellular space and endoplasmic reticulum stores, resulting in signaling paralysis and ER stress [8, 9]. Mechanism 3: TLR-mediated innate immune overdrive. Extracellular histones bind TLR2, TLR4, and TLR9, activating the MyD88-IRAK4-TRAF6 signaling axis, which drives NF-kB and AP-1, culminating in the cytokine storm characteristic of severe COVID-19 [8]. Mechanism 4: Inflammasome activation and pyroptosis. Intracellular sensing of histones by NOD2 and NLRP3 triggers inflammasome assembly, Caspase-1 activation, and release of IL-1beta and IL-18 [9]. Mechanism 5: Complement system sabotage. Histones H3 and H4 bind complement protein C4, inhibiting C3 and C5 functional activities, impairing viral clearance and establishing immunothrombosis [8].</w:t>
      </w:r>
    </w:p>
    <w:p w14:paraId="0D7251B1" w14:textId="77777777" w:rsidR="005E4E4D" w:rsidRDefault="00000000">
      <w:pPr>
        <w:jc w:val="center"/>
      </w:pPr>
      <w:r>
        <w:rPr>
          <w:noProof/>
        </w:rPr>
        <w:drawing>
          <wp:inline distT="0" distB="0" distL="0" distR="0" wp14:anchorId="7C77D309" wp14:editId="1BE7FDC7">
            <wp:extent cx="4572000" cy="3341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etosis.png"/>
                    <pic:cNvPicPr/>
                  </pic:nvPicPr>
                  <pic:blipFill>
                    <a:blip r:embed="rId9"/>
                    <a:stretch>
                      <a:fillRect/>
                    </a:stretch>
                  </pic:blipFill>
                  <pic:spPr>
                    <a:xfrm>
                      <a:off x="0" y="0"/>
                      <a:ext cx="4572000" cy="3341298"/>
                    </a:xfrm>
                    <a:prstGeom prst="rect">
                      <a:avLst/>
                    </a:prstGeom>
                  </pic:spPr>
                </pic:pic>
              </a:graphicData>
            </a:graphic>
          </wp:inline>
        </w:drawing>
      </w:r>
    </w:p>
    <w:p w14:paraId="75B4A80C" w14:textId="77777777" w:rsidR="005E4E4D" w:rsidRDefault="00000000">
      <w:r>
        <w:rPr>
          <w:i/>
          <w:sz w:val="20"/>
        </w:rPr>
        <w:lastRenderedPageBreak/>
        <w:t>Figure: NETosis pathway illustrating the six-step process from neutrophil activation to extracellular trap release and histone unmasking.</w:t>
      </w:r>
    </w:p>
    <w:p w14:paraId="2E9FCFC5" w14:textId="77777777" w:rsidR="005E4E4D" w:rsidRDefault="005E4E4D"/>
    <w:p w14:paraId="43F27256" w14:textId="77777777" w:rsidR="005E4E4D" w:rsidRDefault="00000000">
      <w:pPr>
        <w:pStyle w:val="Heading2"/>
      </w:pPr>
      <w:r>
        <w:rPr>
          <w:rFonts w:ascii="Times New Roman" w:hAnsi="Times New Roman"/>
          <w:color w:val="000000"/>
        </w:rPr>
        <w:t>3.6. ORF8 Histone Mimicry Network</w:t>
      </w:r>
    </w:p>
    <w:p w14:paraId="471928CE" w14:textId="77777777" w:rsidR="005E4E4D" w:rsidRDefault="00000000">
      <w:r>
        <w:t>The SARS-CoV-2 ORF8 protein's histone mimicry mechanism was represented as a directed network (Figure 5). ORF8 mimics the ARKS motif of Histone H3, associates with host chromatin, promotes repressive marks (H3K9me3, H3K27me3), depletes activating marks (H3K9ac, H3K14ac), induces chromatin compaction, and ultimately silences interferon response genes [5]. This coordinated epigenetic reprogramming represents a sophisticated viral strategy to evade the innate immune response.</w:t>
      </w:r>
    </w:p>
    <w:p w14:paraId="2B3F3F54" w14:textId="77777777" w:rsidR="005E4E4D" w:rsidRDefault="00000000">
      <w:pPr>
        <w:jc w:val="center"/>
      </w:pPr>
      <w:r>
        <w:rPr>
          <w:noProof/>
        </w:rPr>
        <w:drawing>
          <wp:inline distT="0" distB="0" distL="0" distR="0" wp14:anchorId="2DFF785C" wp14:editId="3CB93CAF">
            <wp:extent cx="4572000" cy="3335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orf8_mimicry.png"/>
                    <pic:cNvPicPr/>
                  </pic:nvPicPr>
                  <pic:blipFill>
                    <a:blip r:embed="rId10"/>
                    <a:stretch>
                      <a:fillRect/>
                    </a:stretch>
                  </pic:blipFill>
                  <pic:spPr>
                    <a:xfrm>
                      <a:off x="0" y="0"/>
                      <a:ext cx="4572000" cy="3335547"/>
                    </a:xfrm>
                    <a:prstGeom prst="rect">
                      <a:avLst/>
                    </a:prstGeom>
                  </pic:spPr>
                </pic:pic>
              </a:graphicData>
            </a:graphic>
          </wp:inline>
        </w:drawing>
      </w:r>
    </w:p>
    <w:p w14:paraId="346D40D9" w14:textId="77777777" w:rsidR="005E4E4D" w:rsidRDefault="00000000">
      <w:r>
        <w:rPr>
          <w:i/>
          <w:sz w:val="20"/>
        </w:rPr>
        <w:t>Figure: Directed network diagram of SARS-CoV-2 ORF8 histone mimicry. ORF8 mimics the ARKS motif of H3, associates with host chromatin, and orchestrates a cascade of repressive epigenetic changes leading to IFN response gene silencing.</w:t>
      </w:r>
    </w:p>
    <w:p w14:paraId="5E5D9BAC" w14:textId="77777777" w:rsidR="005E4E4D" w:rsidRDefault="005E4E4D"/>
    <w:p w14:paraId="482A0354" w14:textId="77777777" w:rsidR="005E4E4D" w:rsidRDefault="00000000">
      <w:r>
        <w:t xml:space="preserve">The immunothrombosis vicious cycle (Figure 6) illustrates how histone-mediated complement inhibition perpetuates tissue damage. Impaired viral clearance due to C3/C5 inhibition leads to </w:t>
      </w:r>
      <w:r>
        <w:lastRenderedPageBreak/>
        <w:t>continued cell death and further histone release, creating a self-reinforcing cycle that drives pathological clot formation in the microvasculature [8].</w:t>
      </w:r>
    </w:p>
    <w:p w14:paraId="0ECE924C" w14:textId="77777777" w:rsidR="005E4E4D" w:rsidRDefault="00000000">
      <w:pPr>
        <w:jc w:val="center"/>
      </w:pPr>
      <w:r>
        <w:rPr>
          <w:noProof/>
        </w:rPr>
        <w:drawing>
          <wp:inline distT="0" distB="0" distL="0" distR="0" wp14:anchorId="2959E88E" wp14:editId="793B6766">
            <wp:extent cx="3657600" cy="2797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munothrombosis.png"/>
                    <pic:cNvPicPr/>
                  </pic:nvPicPr>
                  <pic:blipFill>
                    <a:blip r:embed="rId11"/>
                    <a:stretch>
                      <a:fillRect/>
                    </a:stretch>
                  </pic:blipFill>
                  <pic:spPr>
                    <a:xfrm>
                      <a:off x="0" y="0"/>
                      <a:ext cx="3657600" cy="2797315"/>
                    </a:xfrm>
                    <a:prstGeom prst="rect">
                      <a:avLst/>
                    </a:prstGeom>
                  </pic:spPr>
                </pic:pic>
              </a:graphicData>
            </a:graphic>
          </wp:inline>
        </w:drawing>
      </w:r>
    </w:p>
    <w:p w14:paraId="25CF2CDA" w14:textId="77777777" w:rsidR="005E4E4D" w:rsidRDefault="00000000">
      <w:r>
        <w:rPr>
          <w:i/>
          <w:sz w:val="20"/>
        </w:rPr>
        <w:t>Figure: The immunothrombosis vicious circle. Histone-mediated complement inhibition impairs viral clearance, leading to continued cell death and further histone release.</w:t>
      </w:r>
    </w:p>
    <w:p w14:paraId="17F8665D" w14:textId="77777777" w:rsidR="005E4E4D" w:rsidRDefault="005E4E4D"/>
    <w:p w14:paraId="2F7BB5FC" w14:textId="77777777" w:rsidR="005E4E4D" w:rsidRDefault="00000000">
      <w:r>
        <w:br w:type="page"/>
      </w:r>
    </w:p>
    <w:p w14:paraId="380140DD" w14:textId="77777777" w:rsidR="005E4E4D" w:rsidRDefault="00000000">
      <w:pPr>
        <w:pStyle w:val="Heading1"/>
      </w:pPr>
      <w:r>
        <w:rPr>
          <w:rFonts w:ascii="Times New Roman" w:hAnsi="Times New Roman"/>
          <w:color w:val="000000"/>
        </w:rPr>
        <w:lastRenderedPageBreak/>
        <w:t>4. Discussion</w:t>
      </w:r>
    </w:p>
    <w:p w14:paraId="23224098" w14:textId="77777777" w:rsidR="005E4E4D" w:rsidRDefault="00000000">
      <w:r>
        <w:t>We benchmarked three public histone databases for co-occurrence and avoidance patterns using median-split binarized marks. None of the three databases yielded significant pairwise relationships after FDR correction. This null result carries biological implications that we discuss below.</w:t>
      </w:r>
    </w:p>
    <w:p w14:paraId="7414C6AE" w14:textId="77777777" w:rsidR="005E4E4D" w:rsidRDefault="00000000">
      <w:r>
        <w:t>Occurrence frequencies across databases reflect real biology. In Histome2, has_writer occurs at 41.9% of PTM sites while has_eraser occurs at 33.9%. This gap is not a data artifact: for most histone PTMs, the writer enzymes that deposit the mark are better characterized than the erasers that remove it. Lysine methyltransferases (KMTs) and histone acetyltransferases (HATs) have been studied for decades, while many corresponding demethylases (KDMs) and deacetylases (HDACs) were identified later and remain less completely annotated for site specificity [17]. That multi_mod is uniformly zero in Histome2 reflects a genuine feature of the database: each PTM site is listed with a single modification type. The site may carry multiple marks in vivo (e.g., H3K9 can be methylated or acetylated), but Histome2 catalogues each as a separate PTM site entry, so within a single entry the modification type count is always one.</w:t>
      </w:r>
    </w:p>
    <w:p w14:paraId="5C16FBA4" w14:textId="77777777" w:rsidR="005E4E4D" w:rsidRDefault="00000000">
      <w:r>
        <w:t>In HistoneDB 2.0, all three marks sit at exactly 50.0% by construction, but the underlying variables carry biological meaning. Variants with high HMM scores are those that match known histone domains well; variants with broad taxonomic distribution represent evolutionarily ancient histones. The near-significant trend between many_sequences and broad_taxonomy (p_adj = 0.0647, Log2FC = 0.90) is biologically coherent: conserved histone variants are sequenced more often across more species. Histone H3.3 and H2A.Z exemplify this: both are found across eukaryotes and have hundreds of sequences in the database, while variant histones restricted to specific lineages (e.g., mammalian H1.0) have fewer entries [12]. In ProHistoneDB, the lower occurrence of broad_taxonomy (37.5%) reflects that many archaeal and viral proto-histones are confined to single taxonomic groups. Proto-histones in Archaea are restricted to specific phyla (Euryarchaeota, Crenarchaeota) and have not spread across domains [13].</w:t>
      </w:r>
    </w:p>
    <w:p w14:paraId="78C0BB22" w14:textId="77777777" w:rsidR="005E4E4D" w:rsidRDefault="00000000">
      <w:r>
        <w:t xml:space="preserve">Why do real database features show no co-occurrence while the simulated PTM-level marks do? The answer lies in what the features represent. In the simulated data, H3K4me3 and H3K27ac co-occur because they are deposited by the same transcriptional machinery at active promoters. The MLL/COMPASS complex deposits H3K4me3, and p300/CBP deposits H3K27ac; these </w:t>
      </w:r>
      <w:r>
        <w:lastRenderedPageBreak/>
        <w:t>enzymes are recruited together at active regulatory elements [17, 18]. Co-occurrence arises through reader-mediated cross-talk: the SAGA complex subunit SGF29 binds H3K4me3 via its tandem tudor domain, facilitating HAT recruitment to active promoters [18]. In contrast, the database features (writer counts, HMM scores, sequence counts) do not participate in such cross-talk. A PTM site having a known writer does not cause it to also have a known eraser; these are independent annotation facts. The Co-ChIP method by Weiner et al. [20] demonstrated that PTM-level co-occurrence on individual nucleosomes is widespread and follows predictable rules: H3K4me3 co-occurs with H3K27ac at active promoters, H3K9me3 co-occurs with H4K20me3 at heterochromatin, and H3K36me3 is enriched in gene bodies independently of promoter marks. These are the patterns we recovered in the simulated data but could not detect in the database-level features.</w:t>
      </w:r>
    </w:p>
    <w:p w14:paraId="14D81186" w14:textId="77777777" w:rsidR="005E4E4D" w:rsidRDefault="00000000">
      <w:r>
        <w:t>Avoidance between histone marks is biologically as informative as co-occurrence. In the simulated data, H3K9me3 and H3K4me3 were mutually exclusive (observed = 4, expected = 19.53, Log2FC = -2.29). This mirrors well-established biology: H3K9me3 is deposited by SUV39H1/2 at heterochromatin and recruits HP1 to compact chromatin, while H3K4me3 is deposited by MLL complexes at euchromatic promoters [21]. These marks do not coexist because the enzymes that deposit them recognize mutually exclusive chromatin environments. H3K9me3 and H3K27ac also showed strong avoidance (observed = 5, expected = 21.18, Log2FC = -2.08), consistent with the fact that acetylation and trimethylation of H3K27 are mutually exclusive: p300/CBP catalyzes acetylation, while PRC2 catalyzes trimethylation, and these complexes are recruited to different genomic regions [22]. Bivalency (H3K4me3 + H3K27me3) is an exception rather than the rule and is largely restricted to poised developmental genes in embryonic stem cells [23].</w:t>
      </w:r>
    </w:p>
    <w:p w14:paraId="4024F30F" w14:textId="77777777" w:rsidR="005E4E4D" w:rsidRDefault="00000000">
      <w:r>
        <w:t xml:space="preserve">The absence of significant avoidance in all three real databases is itself a biological finding. The database attributes we tested are not inherently antagonistic. A histone PTM site can have both high writer and high eraser counts because writers and erasers serve complementary roles in mark turnover. For example, H3K4me3 has well-characterized writers (MLL1-4, SETD1A/B) and erasers (KDM5A-D, KDM2B), and active promoters show rapid turnover of both marks [24]. Similarly, a histone variant can have both high HMM scores and broad taxonomic distribution because conservation and confidence are positively correlated rather than mutually </w:t>
      </w:r>
      <w:r>
        <w:lastRenderedPageBreak/>
        <w:t>exclusive. The database features simply do not encode the antagonistic relationships that exist between PTM-level marks. This distinction carries a practical message for computational epigenetics: database-level attributes such as writer/eraser counts may not substitute for PTM-level co-occurrence data when studying combinatorial histone codes.</w:t>
      </w:r>
    </w:p>
    <w:p w14:paraId="648D54D3" w14:textId="77777777" w:rsidR="005E4E4D" w:rsidRDefault="00000000">
      <w:r>
        <w:t>The link between histone marks and coronavirus pathogenesis is mechanistically specific. SARS-CoV-2 employs at least three distinct viral proteins to subvert the histone modification system. First, ORF8 mimics the ARKS motif of histone H3 and associates with host chromatin, causing global increases in H3K9me3 and H3K27me3 and decreases in H3K9ac and H3K14ac, resulting in chromatin compaction and silencing of interferon response genes [5]. Second, NSP1 induces H3K9me2 at immune-related gene promoters via the G9a/GLP methyltransferase, repressing antiviral gene expression at the transcriptional level [25]. Pharmacological inhibition of G9a by UNC0638 restores interferon-stimulated gene expression and restricts viral replication. Third, the main protease Mpro (NSP5) cleaves histone deacetylase 2 (HDAC2), disrupting the deacetylation arm of the PTM regulatory cycle and further attenuating the interferon response [26]. This multi-pronged attack on histone modification regulatory enzymes explains why SARS-CoV-2 is so effective at suppressing host innate immunity.</w:t>
      </w:r>
    </w:p>
    <w:p w14:paraId="1CFBFC58" w14:textId="77777777" w:rsidR="005E4E4D" w:rsidRDefault="00000000">
      <w:r>
        <w:t>The chromatin-level impact extends beyond individual marks. Wang et al. [27] showed that SARS-CoV-2 restructures the host 3D genome within 24 hours of infection: A compartment regions weaken, H3K27ac levels drop globally, and cohesin is depleted from topologically associating domains (TADs). These changes correlate with the transcriptional suppression of interferon response genes. The magnitude of this epigenetic reprogramming - affecting compartmentalization, histone marks, and transcription simultaneously - suggests that histone mark avoidance and co-occurrence patterns at a genomic scale are actively rewritten by the virus. Our null results from static database features do not capture this dynamic rewiring. Time-resolved ChIP-seq during infection time courses would be needed to observe how SARS-CoV-2 alters co-occurrence relationships in real time.</w:t>
      </w:r>
    </w:p>
    <w:p w14:paraId="0A0C7FB5" w14:textId="77777777" w:rsidR="005E4E4D" w:rsidRDefault="00000000">
      <w:r>
        <w:t xml:space="preserve">This study has several limitations. First, the three databases cover distinct biological domains (human PTM sites, cross-species histone variants, and proto-histone categories), making direct cross-database comparisons of co-occurrence patterns informative but not strictly equivalent. Second, the sample sizes are modest (24-62 observations), limiting statistical power for detection </w:t>
      </w:r>
      <w:r>
        <w:lastRenderedPageBreak/>
        <w:t>of moderate effect sizes. Third, the median-split binarization discards information about continuous variation; a site with barely above-median writer count is treated the same as one with many times the median. Fourth, database-level attributes (writer counts, HMM scores) are not the same as the PTM-level marks that show established co-occurrence in ChIP-seq data. Future work should use raw continuous values in correlation frameworks, incorporate ENCODE ChIP-seq data from coronavirus-infected cells, and apply multivariate methods that account for the continuous nature of histone mark measurements.</w:t>
      </w:r>
    </w:p>
    <w:p w14:paraId="1C8BFE06" w14:textId="77777777" w:rsidR="005E4E4D" w:rsidRDefault="00000000">
      <w:r>
        <w:t>Future directions include extending this analysis to real ChIP-seq data from SARS-CoV-2-infected cells, comparing mark co-occurrence before and after infection to quantify the virus-induced rewiring of the histone interaction network. Integration with RNA-seq would connect specific co-occurrence changes to transcriptional outcomes. The finding that SARS-CoV-2 targets multiple points in the histone regulatory cycle (H3K9 methyltransferases via ORF8, G9a via NSP1, HDAC2 via Mpro) suggests that combination therapies targeting both writers and erasers might be more effective than single-agent approaches.</w:t>
      </w:r>
    </w:p>
    <w:p w14:paraId="419CF9A8" w14:textId="77777777" w:rsidR="005E4E4D" w:rsidRDefault="00000000">
      <w:r>
        <w:br w:type="page"/>
      </w:r>
    </w:p>
    <w:p w14:paraId="3E2274D4" w14:textId="77777777" w:rsidR="005E4E4D" w:rsidRDefault="00000000">
      <w:pPr>
        <w:pStyle w:val="Heading1"/>
      </w:pPr>
      <w:r>
        <w:rPr>
          <w:rFonts w:ascii="Times New Roman" w:hAnsi="Times New Roman"/>
          <w:color w:val="000000"/>
        </w:rPr>
        <w:lastRenderedPageBreak/>
        <w:t>5. Conclusion</w:t>
      </w:r>
    </w:p>
    <w:p w14:paraId="4AE8B7D7" w14:textId="77777777" w:rsidR="005E4E4D" w:rsidRDefault="00000000">
      <w:r>
        <w:t>This study benchmarked three public histone databases for co-occurrence and avoidance analysis using median-split binarized marks. No statistically significant relationships were detected after FDR correction across Histome2, HistoneDB 2.0, or ProHistoneDB, indicating that the chosen attributes behave independently within each database. The strongest trend was observed in HistoneDB 2.0 between sequence count and taxonomic breadth (p_adj = 0.0647), suggesting that better-powered studies might reveal meaningful associations. The simulated nucleosome data, serving as a positive control, correctly recovered six significant mark interactions (three co-occurrence, three avoidance), confirming that the analytical framework is sensitive when biologically meaningful relationships exist. The five mechanisms of histone-mediated tissue damage provide a comprehensive model for understanding the transition from intracellular epigenetic manipulation to extracellular cytotoxicity during coronavirus infection. These findings establish a baseline for future studies using alternative encoding strategies and support the development of host-directed therapies targeting both the epigenetic and cytotoxic dimensions of histone biology in severe coronavirus infections.</w:t>
      </w:r>
    </w:p>
    <w:p w14:paraId="5CE1903D" w14:textId="77777777" w:rsidR="005E4E4D" w:rsidRDefault="00000000">
      <w:pPr>
        <w:pStyle w:val="Heading1"/>
      </w:pPr>
      <w:r>
        <w:rPr>
          <w:rFonts w:ascii="Times New Roman" w:hAnsi="Times New Roman"/>
          <w:color w:val="000000"/>
        </w:rPr>
        <w:t>List of Abbreviations</w:t>
      </w:r>
    </w:p>
    <w:p w14:paraId="54676BE5" w14:textId="77777777" w:rsidR="005E4E4D" w:rsidRDefault="00000000">
      <w:r>
        <w:rPr>
          <w:sz w:val="20"/>
        </w:rPr>
        <w:t>ACE2 - Angiotensin-Converting Enzyme 2</w:t>
      </w:r>
    </w:p>
    <w:p w14:paraId="1EA31413" w14:textId="77777777" w:rsidR="005E4E4D" w:rsidRDefault="00000000">
      <w:r>
        <w:rPr>
          <w:sz w:val="20"/>
        </w:rPr>
        <w:t>APC - Activated Protein C</w:t>
      </w:r>
    </w:p>
    <w:p w14:paraId="7145D53F" w14:textId="77777777" w:rsidR="005E4E4D" w:rsidRDefault="00000000">
      <w:r>
        <w:rPr>
          <w:sz w:val="20"/>
        </w:rPr>
        <w:t>ARDS - Acute Respiratory Distress Syndrome</w:t>
      </w:r>
    </w:p>
    <w:p w14:paraId="1F12C282" w14:textId="77777777" w:rsidR="005E4E4D" w:rsidRDefault="00000000">
      <w:r>
        <w:rPr>
          <w:sz w:val="20"/>
        </w:rPr>
        <w:t>CRP - C-Reactive Protein</w:t>
      </w:r>
    </w:p>
    <w:p w14:paraId="2DBCA901" w14:textId="77777777" w:rsidR="005E4E4D" w:rsidRDefault="00000000">
      <w:r>
        <w:rPr>
          <w:sz w:val="20"/>
        </w:rPr>
        <w:t>DAMP - Damage-Associated Molecular Pattern</w:t>
      </w:r>
    </w:p>
    <w:p w14:paraId="39AC528C" w14:textId="77777777" w:rsidR="005E4E4D" w:rsidRDefault="00000000">
      <w:r>
        <w:rPr>
          <w:sz w:val="20"/>
        </w:rPr>
        <w:t>FDR - False Discovery Rate</w:t>
      </w:r>
    </w:p>
    <w:p w14:paraId="22E78DC4" w14:textId="77777777" w:rsidR="005E4E4D" w:rsidRDefault="00000000">
      <w:r>
        <w:rPr>
          <w:sz w:val="20"/>
        </w:rPr>
        <w:t>HMM - Hidden Markov Model</w:t>
      </w:r>
    </w:p>
    <w:p w14:paraId="283667EE" w14:textId="77777777" w:rsidR="005E4E4D" w:rsidRDefault="00000000">
      <w:r>
        <w:rPr>
          <w:sz w:val="20"/>
        </w:rPr>
        <w:t>IFN - Interferon</w:t>
      </w:r>
    </w:p>
    <w:p w14:paraId="4A3DD320" w14:textId="77777777" w:rsidR="005E4E4D" w:rsidRDefault="00000000">
      <w:r>
        <w:rPr>
          <w:sz w:val="20"/>
        </w:rPr>
        <w:t>ISG - Interferon-Stimulated Gene</w:t>
      </w:r>
    </w:p>
    <w:p w14:paraId="40D95F45" w14:textId="77777777" w:rsidR="005E4E4D" w:rsidRDefault="00000000">
      <w:r>
        <w:rPr>
          <w:sz w:val="20"/>
        </w:rPr>
        <w:t>LMWH - Low-Molecular-Weight Heparin</w:t>
      </w:r>
    </w:p>
    <w:p w14:paraId="6E28C270" w14:textId="77777777" w:rsidR="005E4E4D" w:rsidRDefault="00000000">
      <w:r>
        <w:rPr>
          <w:sz w:val="20"/>
        </w:rPr>
        <w:t>MOMP - Mitochondrial Outer Membrane Permeabilization</w:t>
      </w:r>
    </w:p>
    <w:p w14:paraId="2CB843DE" w14:textId="77777777" w:rsidR="005E4E4D" w:rsidRDefault="00000000">
      <w:r>
        <w:rPr>
          <w:sz w:val="20"/>
        </w:rPr>
        <w:lastRenderedPageBreak/>
        <w:t>NET - Neutrophil Extracellular Trap</w:t>
      </w:r>
    </w:p>
    <w:p w14:paraId="341054D2" w14:textId="77777777" w:rsidR="005E4E4D" w:rsidRDefault="00000000">
      <w:r>
        <w:rPr>
          <w:sz w:val="20"/>
        </w:rPr>
        <w:t>PAMP - Pathogen-Associated Molecular Pattern</w:t>
      </w:r>
    </w:p>
    <w:p w14:paraId="7192C677" w14:textId="77777777" w:rsidR="005E4E4D" w:rsidRDefault="00000000">
      <w:r>
        <w:rPr>
          <w:sz w:val="20"/>
        </w:rPr>
        <w:t>PTM - Post-Translational Modification</w:t>
      </w:r>
    </w:p>
    <w:p w14:paraId="26D4BCB1" w14:textId="77777777" w:rsidR="005E4E4D" w:rsidRDefault="00000000">
      <w:r>
        <w:rPr>
          <w:sz w:val="20"/>
        </w:rPr>
        <w:t>TLR - Toll-Like Receptor</w:t>
      </w:r>
    </w:p>
    <w:p w14:paraId="4A5796B6" w14:textId="77777777" w:rsidR="005E4E4D" w:rsidRDefault="00000000">
      <w:pPr>
        <w:pStyle w:val="Heading1"/>
      </w:pPr>
      <w:r>
        <w:rPr>
          <w:rFonts w:ascii="Times New Roman" w:hAnsi="Times New Roman"/>
          <w:color w:val="000000"/>
        </w:rPr>
        <w:t>Conflict of Interest</w:t>
      </w:r>
    </w:p>
    <w:p w14:paraId="1D3D97BD" w14:textId="77777777" w:rsidR="005E4E4D" w:rsidRDefault="00000000">
      <w:r>
        <w:t>The author declares no conflict of interest.</w:t>
      </w:r>
    </w:p>
    <w:p w14:paraId="5EF2FC69" w14:textId="77777777" w:rsidR="005E4E4D" w:rsidRDefault="00000000">
      <w:pPr>
        <w:pStyle w:val="Heading1"/>
      </w:pPr>
      <w:r>
        <w:rPr>
          <w:rFonts w:ascii="Times New Roman" w:hAnsi="Times New Roman"/>
          <w:color w:val="000000"/>
        </w:rPr>
        <w:t>Acknowledgements</w:t>
      </w:r>
    </w:p>
    <w:p w14:paraId="2ACA1E50" w14:textId="055E51D7" w:rsidR="005E4E4D" w:rsidRDefault="00000000">
      <w:r>
        <w:t>This work was supported by the Department of Biotechnology, i3L University, Jakarta.</w:t>
      </w:r>
      <w:r w:rsidR="00142C5A">
        <w:t xml:space="preserve"> </w:t>
      </w:r>
      <w:r w:rsidR="00142C5A">
        <w:t xml:space="preserve">The Claude </w:t>
      </w:r>
      <w:proofErr w:type="spellStart"/>
      <w:r w:rsidR="00142C5A">
        <w:t>cowork</w:t>
      </w:r>
      <w:proofErr w:type="spellEnd"/>
      <w:r w:rsidR="00142C5A">
        <w:t xml:space="preserve"> from Anthropic ® was used for outlining, brainstorming, and ideation of the manuscript. All authors are responsible for the validity of the content. The source code for the bioinformatics pipeline is deposited here: </w:t>
      </w:r>
      <w:hyperlink r:id="rId12" w:history="1">
        <w:r w:rsidR="00142C5A" w:rsidRPr="00245B67">
          <w:rPr>
            <w:rStyle w:val="Hyperlink"/>
          </w:rPr>
          <w:t>https://github.com/Johnkecops/Histone_Marks_COVID</w:t>
        </w:r>
      </w:hyperlink>
    </w:p>
    <w:p w14:paraId="26F9B88F" w14:textId="77777777" w:rsidR="005E4E4D" w:rsidRDefault="00000000">
      <w:pPr>
        <w:pStyle w:val="Heading1"/>
      </w:pPr>
      <w:r>
        <w:rPr>
          <w:rFonts w:ascii="Times New Roman" w:hAnsi="Times New Roman"/>
          <w:color w:val="000000"/>
        </w:rPr>
        <w:t>References</w:t>
      </w:r>
    </w:p>
    <w:p w14:paraId="552A0317" w14:textId="77777777" w:rsidR="005E4E4D" w:rsidRDefault="00000000">
      <w:pPr>
        <w:ind w:left="720" w:hanging="720"/>
      </w:pPr>
      <w:r>
        <w:rPr>
          <w:sz w:val="20"/>
        </w:rPr>
        <w:t>[1] Schafer A, Baric RS. Epigenetic landscape during coronavirus infection. Pathogens 2017; 6(1): 8. doi: 10.3390/pathogens6010008</w:t>
      </w:r>
    </w:p>
    <w:p w14:paraId="47C56B96" w14:textId="77777777" w:rsidR="005E4E4D" w:rsidRDefault="00000000">
      <w:pPr>
        <w:ind w:left="720" w:hanging="720"/>
      </w:pPr>
      <w:r>
        <w:rPr>
          <w:sz w:val="20"/>
        </w:rPr>
        <w:t>[2] Kaur R, et al. Histome2: a database of human histone PTMs. Nucleic Acids Res 2021; 49(D1): D1024-D1030. doi: 10.1093/nar/gkaa641</w:t>
      </w:r>
    </w:p>
    <w:p w14:paraId="7BBD3859" w14:textId="77777777" w:rsidR="005E4E4D" w:rsidRDefault="00000000">
      <w:pPr>
        <w:ind w:left="720" w:hanging="720"/>
      </w:pPr>
      <w:r>
        <w:rPr>
          <w:sz w:val="20"/>
        </w:rPr>
        <w:t>[3] Gupta S, Hemeg HA, Afrin F. Immuno-epigenetic paradigms in coronavirus infection. Front Immunol 2025; 16: 1596135. doi: 10.3389/fimmu.2025.1596135</w:t>
      </w:r>
    </w:p>
    <w:p w14:paraId="2527ACE3" w14:textId="77777777" w:rsidR="005E4E4D" w:rsidRPr="00142C5A" w:rsidRDefault="00000000">
      <w:pPr>
        <w:ind w:left="720" w:hanging="720"/>
        <w:rPr>
          <w:lang w:val="nl-NL"/>
        </w:rPr>
      </w:pPr>
      <w:r>
        <w:rPr>
          <w:sz w:val="20"/>
        </w:rPr>
        <w:t xml:space="preserve">[4] York A. Histone mimicry by SARS-CoV-2. </w:t>
      </w:r>
      <w:r w:rsidRPr="00142C5A">
        <w:rPr>
          <w:sz w:val="20"/>
          <w:lang w:val="nl-NL"/>
        </w:rPr>
        <w:t xml:space="preserve">Nat </w:t>
      </w:r>
      <w:proofErr w:type="spellStart"/>
      <w:r w:rsidRPr="00142C5A">
        <w:rPr>
          <w:sz w:val="20"/>
          <w:lang w:val="nl-NL"/>
        </w:rPr>
        <w:t>Rev</w:t>
      </w:r>
      <w:proofErr w:type="spellEnd"/>
      <w:r w:rsidRPr="00142C5A">
        <w:rPr>
          <w:sz w:val="20"/>
          <w:lang w:val="nl-NL"/>
        </w:rPr>
        <w:t xml:space="preserve"> </w:t>
      </w:r>
      <w:proofErr w:type="spellStart"/>
      <w:r w:rsidRPr="00142C5A">
        <w:rPr>
          <w:sz w:val="20"/>
          <w:lang w:val="nl-NL"/>
        </w:rPr>
        <w:t>Microbiol</w:t>
      </w:r>
      <w:proofErr w:type="spellEnd"/>
      <w:r w:rsidRPr="00142C5A">
        <w:rPr>
          <w:sz w:val="20"/>
          <w:lang w:val="nl-NL"/>
        </w:rPr>
        <w:t xml:space="preserve"> 2022; 20(12): 703. </w:t>
      </w:r>
      <w:proofErr w:type="spellStart"/>
      <w:proofErr w:type="gramStart"/>
      <w:r w:rsidRPr="00142C5A">
        <w:rPr>
          <w:sz w:val="20"/>
          <w:lang w:val="nl-NL"/>
        </w:rPr>
        <w:t>doi</w:t>
      </w:r>
      <w:proofErr w:type="spellEnd"/>
      <w:proofErr w:type="gramEnd"/>
      <w:r w:rsidRPr="00142C5A">
        <w:rPr>
          <w:sz w:val="20"/>
          <w:lang w:val="nl-NL"/>
        </w:rPr>
        <w:t>: 10.1038/s41579-022-00815-9</w:t>
      </w:r>
    </w:p>
    <w:p w14:paraId="7E20525C" w14:textId="77777777" w:rsidR="005E4E4D" w:rsidRPr="00142C5A" w:rsidRDefault="00000000">
      <w:pPr>
        <w:ind w:left="720" w:hanging="720"/>
        <w:rPr>
          <w:lang w:val="fr-FR"/>
        </w:rPr>
      </w:pPr>
      <w:r w:rsidRPr="00142C5A">
        <w:rPr>
          <w:sz w:val="20"/>
          <w:lang w:val="nl-NL"/>
        </w:rPr>
        <w:t xml:space="preserve">[5] Kee J, </w:t>
      </w:r>
      <w:proofErr w:type="spellStart"/>
      <w:r w:rsidRPr="00142C5A">
        <w:rPr>
          <w:sz w:val="20"/>
          <w:lang w:val="nl-NL"/>
        </w:rPr>
        <w:t>Thudium</w:t>
      </w:r>
      <w:proofErr w:type="spellEnd"/>
      <w:r w:rsidRPr="00142C5A">
        <w:rPr>
          <w:sz w:val="20"/>
          <w:lang w:val="nl-NL"/>
        </w:rPr>
        <w:t xml:space="preserve"> S, Renner DM, et al. </w:t>
      </w:r>
      <w:r>
        <w:rPr>
          <w:sz w:val="20"/>
        </w:rPr>
        <w:t xml:space="preserve">SARS-CoV-2 disrupts host epigenetic regulation via histone mimicry. </w:t>
      </w:r>
      <w:r w:rsidRPr="00142C5A">
        <w:rPr>
          <w:sz w:val="20"/>
          <w:lang w:val="fr-FR"/>
        </w:rPr>
        <w:t xml:space="preserve">Nature </w:t>
      </w:r>
      <w:proofErr w:type="gramStart"/>
      <w:r w:rsidRPr="00142C5A">
        <w:rPr>
          <w:sz w:val="20"/>
          <w:lang w:val="fr-FR"/>
        </w:rPr>
        <w:t>2022;</w:t>
      </w:r>
      <w:proofErr w:type="gramEnd"/>
      <w:r w:rsidRPr="00142C5A">
        <w:rPr>
          <w:sz w:val="20"/>
          <w:lang w:val="fr-FR"/>
        </w:rPr>
        <w:t xml:space="preserve"> 610(7931</w:t>
      </w:r>
      <w:proofErr w:type="gramStart"/>
      <w:r w:rsidRPr="00142C5A">
        <w:rPr>
          <w:sz w:val="20"/>
          <w:lang w:val="fr-FR"/>
        </w:rPr>
        <w:t>):</w:t>
      </w:r>
      <w:proofErr w:type="gramEnd"/>
      <w:r w:rsidRPr="00142C5A">
        <w:rPr>
          <w:sz w:val="20"/>
          <w:lang w:val="fr-FR"/>
        </w:rPr>
        <w:t xml:space="preserve"> 381-388. </w:t>
      </w:r>
      <w:proofErr w:type="spellStart"/>
      <w:proofErr w:type="gramStart"/>
      <w:r w:rsidRPr="00142C5A">
        <w:rPr>
          <w:sz w:val="20"/>
          <w:lang w:val="fr-FR"/>
        </w:rPr>
        <w:t>doi</w:t>
      </w:r>
      <w:proofErr w:type="spellEnd"/>
      <w:r w:rsidRPr="00142C5A">
        <w:rPr>
          <w:sz w:val="20"/>
          <w:lang w:val="fr-FR"/>
        </w:rPr>
        <w:t>:</w:t>
      </w:r>
      <w:proofErr w:type="gramEnd"/>
      <w:r w:rsidRPr="00142C5A">
        <w:rPr>
          <w:sz w:val="20"/>
          <w:lang w:val="fr-FR"/>
        </w:rPr>
        <w:t xml:space="preserve"> 10.1038/s41586-022-05282-z</w:t>
      </w:r>
    </w:p>
    <w:p w14:paraId="390481B8" w14:textId="77777777" w:rsidR="005E4E4D" w:rsidRDefault="00000000">
      <w:pPr>
        <w:ind w:left="720" w:hanging="720"/>
      </w:pPr>
      <w:r w:rsidRPr="00142C5A">
        <w:rPr>
          <w:sz w:val="20"/>
          <w:lang w:val="fr-FR"/>
        </w:rPr>
        <w:t xml:space="preserve">[6] </w:t>
      </w:r>
      <w:proofErr w:type="spellStart"/>
      <w:r w:rsidRPr="00142C5A">
        <w:rPr>
          <w:sz w:val="20"/>
          <w:lang w:val="fr-FR"/>
        </w:rPr>
        <w:t>Menachery</w:t>
      </w:r>
      <w:proofErr w:type="spellEnd"/>
      <w:r w:rsidRPr="00142C5A">
        <w:rPr>
          <w:sz w:val="20"/>
          <w:lang w:val="fr-FR"/>
        </w:rPr>
        <w:t xml:space="preserve"> VD, Schafer A, et al. </w:t>
      </w:r>
      <w:r>
        <w:rPr>
          <w:sz w:val="20"/>
        </w:rPr>
        <w:t>MERS-CoV and HCoV-229E modulate host histone modifications. J Virol 2020; 94(18): e00763-20.</w:t>
      </w:r>
    </w:p>
    <w:p w14:paraId="7CF131B4" w14:textId="77777777" w:rsidR="005E4E4D" w:rsidRDefault="00000000">
      <w:pPr>
        <w:ind w:left="720" w:hanging="720"/>
      </w:pPr>
      <w:r>
        <w:rPr>
          <w:sz w:val="20"/>
        </w:rPr>
        <w:lastRenderedPageBreak/>
        <w:t>[7] Ives AN, Thibert S, Berger MR, et al. Human coronavirus 229E infection alters histone proteoforms. J Proteome Res 2026; 25(6): 2698-2708. doi: 10.1021/acs.jproteome.5c01015</w:t>
      </w:r>
    </w:p>
    <w:p w14:paraId="4C0CB9A1" w14:textId="77777777" w:rsidR="005E4E4D" w:rsidRDefault="00000000">
      <w:pPr>
        <w:ind w:left="720" w:hanging="720"/>
      </w:pPr>
      <w:r>
        <w:rPr>
          <w:sz w:val="20"/>
        </w:rPr>
        <w:t>[8] de Vries F, Huckriede J, Wichapong K, Reutelingsperger C, Nicolaes GAF. The role of extracellular histones in COVID-19. J Intern Med 2022; 293(3): 275. doi: 10.1111/joim.13585</w:t>
      </w:r>
    </w:p>
    <w:p w14:paraId="1F3A3D44" w14:textId="77777777" w:rsidR="005E4E4D" w:rsidRDefault="00000000">
      <w:pPr>
        <w:ind w:left="720" w:hanging="720"/>
      </w:pPr>
      <w:r w:rsidRPr="00142C5A">
        <w:rPr>
          <w:sz w:val="20"/>
          <w:lang w:val="nl-NL"/>
        </w:rPr>
        <w:t xml:space="preserve">[9] Marsman G, </w:t>
      </w:r>
      <w:proofErr w:type="spellStart"/>
      <w:r w:rsidRPr="00142C5A">
        <w:rPr>
          <w:sz w:val="20"/>
          <w:lang w:val="nl-NL"/>
        </w:rPr>
        <w:t>Zeerleder</w:t>
      </w:r>
      <w:proofErr w:type="spellEnd"/>
      <w:r w:rsidRPr="00142C5A">
        <w:rPr>
          <w:sz w:val="20"/>
          <w:lang w:val="nl-NL"/>
        </w:rPr>
        <w:t xml:space="preserve"> S, Luken BM. </w:t>
      </w:r>
      <w:r>
        <w:rPr>
          <w:sz w:val="20"/>
        </w:rPr>
        <w:t>Extracellular histones, cell-free DNA, or nucleosomes: what drives coagulation? J Thromb Haemost 2022; 20(6): 1301-1312.</w:t>
      </w:r>
    </w:p>
    <w:p w14:paraId="184D2323" w14:textId="77777777" w:rsidR="005E4E4D" w:rsidRPr="00142C5A" w:rsidRDefault="00000000">
      <w:pPr>
        <w:ind w:left="720" w:hanging="720"/>
        <w:rPr>
          <w:lang w:val="fr-FR"/>
        </w:rPr>
      </w:pPr>
      <w:r>
        <w:rPr>
          <w:sz w:val="20"/>
        </w:rPr>
        <w:t xml:space="preserve">[10] Yang X, Julian J, Schnell T, Albrecht H, Owens W, Yang XS. Epigenetic regulation of inflammatory genes involving histone methylation is associated with hyperimmune response in COVID-19 patients. </w:t>
      </w:r>
      <w:r w:rsidRPr="00142C5A">
        <w:rPr>
          <w:sz w:val="20"/>
          <w:lang w:val="fr-FR"/>
        </w:rPr>
        <w:t xml:space="preserve">J </w:t>
      </w:r>
      <w:proofErr w:type="spellStart"/>
      <w:r w:rsidRPr="00142C5A">
        <w:rPr>
          <w:sz w:val="20"/>
          <w:lang w:val="fr-FR"/>
        </w:rPr>
        <w:t>Immunol</w:t>
      </w:r>
      <w:proofErr w:type="spellEnd"/>
      <w:r w:rsidRPr="00142C5A">
        <w:rPr>
          <w:sz w:val="20"/>
          <w:lang w:val="fr-FR"/>
        </w:rPr>
        <w:t xml:space="preserve"> </w:t>
      </w:r>
      <w:proofErr w:type="gramStart"/>
      <w:r w:rsidRPr="00142C5A">
        <w:rPr>
          <w:sz w:val="20"/>
          <w:lang w:val="fr-FR"/>
        </w:rPr>
        <w:t>2022;</w:t>
      </w:r>
      <w:proofErr w:type="gramEnd"/>
      <w:r w:rsidRPr="00142C5A">
        <w:rPr>
          <w:sz w:val="20"/>
          <w:lang w:val="fr-FR"/>
        </w:rPr>
        <w:t xml:space="preserve"> 208(</w:t>
      </w:r>
      <w:proofErr w:type="spellStart"/>
      <w:r w:rsidRPr="00142C5A">
        <w:rPr>
          <w:sz w:val="20"/>
          <w:lang w:val="fr-FR"/>
        </w:rPr>
        <w:t>Suppl</w:t>
      </w:r>
      <w:proofErr w:type="spellEnd"/>
      <w:r w:rsidRPr="00142C5A">
        <w:rPr>
          <w:sz w:val="20"/>
          <w:lang w:val="fr-FR"/>
        </w:rPr>
        <w:t xml:space="preserve"> 1</w:t>
      </w:r>
      <w:proofErr w:type="gramStart"/>
      <w:r w:rsidRPr="00142C5A">
        <w:rPr>
          <w:sz w:val="20"/>
          <w:lang w:val="fr-FR"/>
        </w:rPr>
        <w:t>):</w:t>
      </w:r>
      <w:proofErr w:type="gramEnd"/>
      <w:r w:rsidRPr="00142C5A">
        <w:rPr>
          <w:sz w:val="20"/>
          <w:lang w:val="fr-FR"/>
        </w:rPr>
        <w:t xml:space="preserve"> 111.19. </w:t>
      </w:r>
      <w:proofErr w:type="spellStart"/>
      <w:proofErr w:type="gramStart"/>
      <w:r w:rsidRPr="00142C5A">
        <w:rPr>
          <w:sz w:val="20"/>
          <w:lang w:val="fr-FR"/>
        </w:rPr>
        <w:t>doi</w:t>
      </w:r>
      <w:proofErr w:type="spellEnd"/>
      <w:r w:rsidRPr="00142C5A">
        <w:rPr>
          <w:sz w:val="20"/>
          <w:lang w:val="fr-FR"/>
        </w:rPr>
        <w:t>:</w:t>
      </w:r>
      <w:proofErr w:type="gramEnd"/>
      <w:r w:rsidRPr="00142C5A">
        <w:rPr>
          <w:sz w:val="20"/>
          <w:lang w:val="fr-FR"/>
        </w:rPr>
        <w:t xml:space="preserve"> 10.4049/jimmunol.208.Supp.111.19</w:t>
      </w:r>
    </w:p>
    <w:p w14:paraId="6249A97D" w14:textId="77777777" w:rsidR="005E4E4D" w:rsidRDefault="00000000">
      <w:pPr>
        <w:ind w:left="720" w:hanging="720"/>
      </w:pPr>
      <w:r w:rsidRPr="00142C5A">
        <w:rPr>
          <w:sz w:val="20"/>
          <w:lang w:val="fr-FR"/>
        </w:rPr>
        <w:t xml:space="preserve">[11] Kaur R, et al. </w:t>
      </w:r>
      <w:r>
        <w:rPr>
          <w:sz w:val="20"/>
        </w:rPr>
        <w:t>Histome2: a database of human histone post-translational modifications. Nucleic Acids Res 2021; 49(D1): D1024-D1030.</w:t>
      </w:r>
    </w:p>
    <w:p w14:paraId="3EF80DF5" w14:textId="77777777" w:rsidR="005E4E4D" w:rsidRPr="008036A1" w:rsidRDefault="00000000">
      <w:pPr>
        <w:ind w:left="720" w:hanging="720"/>
        <w:rPr>
          <w:lang w:val="nl-NL"/>
        </w:rPr>
      </w:pPr>
      <w:r>
        <w:rPr>
          <w:sz w:val="20"/>
        </w:rPr>
        <w:t xml:space="preserve">[12] Draizen EJ, Shaytan AK, Marino-Ramirez L, et al. HistoneDB 2.0: a histone database with variants. </w:t>
      </w:r>
      <w:proofErr w:type="spellStart"/>
      <w:r w:rsidRPr="008036A1">
        <w:rPr>
          <w:sz w:val="20"/>
          <w:lang w:val="nl-NL"/>
        </w:rPr>
        <w:t>Nucleic</w:t>
      </w:r>
      <w:proofErr w:type="spellEnd"/>
      <w:r w:rsidRPr="008036A1">
        <w:rPr>
          <w:sz w:val="20"/>
          <w:lang w:val="nl-NL"/>
        </w:rPr>
        <w:t xml:space="preserve"> </w:t>
      </w:r>
      <w:proofErr w:type="spellStart"/>
      <w:r w:rsidRPr="008036A1">
        <w:rPr>
          <w:sz w:val="20"/>
          <w:lang w:val="nl-NL"/>
        </w:rPr>
        <w:t>Acids</w:t>
      </w:r>
      <w:proofErr w:type="spellEnd"/>
      <w:r w:rsidRPr="008036A1">
        <w:rPr>
          <w:sz w:val="20"/>
          <w:lang w:val="nl-NL"/>
        </w:rPr>
        <w:t xml:space="preserve"> </w:t>
      </w:r>
      <w:proofErr w:type="spellStart"/>
      <w:r w:rsidRPr="008036A1">
        <w:rPr>
          <w:sz w:val="20"/>
          <w:lang w:val="nl-NL"/>
        </w:rPr>
        <w:t>Res</w:t>
      </w:r>
      <w:proofErr w:type="spellEnd"/>
      <w:r w:rsidRPr="008036A1">
        <w:rPr>
          <w:sz w:val="20"/>
          <w:lang w:val="nl-NL"/>
        </w:rPr>
        <w:t xml:space="preserve"> 2023; 51(D1): D348-D355. </w:t>
      </w:r>
      <w:proofErr w:type="spellStart"/>
      <w:proofErr w:type="gramStart"/>
      <w:r w:rsidRPr="008036A1">
        <w:rPr>
          <w:sz w:val="20"/>
          <w:lang w:val="nl-NL"/>
        </w:rPr>
        <w:t>doi</w:t>
      </w:r>
      <w:proofErr w:type="spellEnd"/>
      <w:proofErr w:type="gramEnd"/>
      <w:r w:rsidRPr="008036A1">
        <w:rPr>
          <w:sz w:val="20"/>
          <w:lang w:val="nl-NL"/>
        </w:rPr>
        <w:t>: 10.1093/nar/gkac1011</w:t>
      </w:r>
    </w:p>
    <w:p w14:paraId="4D3C38E9" w14:textId="77777777" w:rsidR="005E4E4D" w:rsidRDefault="00000000">
      <w:pPr>
        <w:ind w:left="720" w:hanging="720"/>
      </w:pPr>
      <w:r w:rsidRPr="008036A1">
        <w:rPr>
          <w:sz w:val="20"/>
          <w:lang w:val="nl-NL"/>
        </w:rPr>
        <w:t xml:space="preserve">[13] Henneman B, van Emmerik C, van Ingen H, Dame RT. </w:t>
      </w:r>
      <w:proofErr w:type="spellStart"/>
      <w:r>
        <w:rPr>
          <w:sz w:val="20"/>
        </w:rPr>
        <w:t>ProHistoneDB</w:t>
      </w:r>
      <w:proofErr w:type="spellEnd"/>
      <w:r>
        <w:rPr>
          <w:sz w:val="20"/>
        </w:rPr>
        <w:t>: a database of proto-histones. Nucleic Acids Res 2018; 46(D1): D348-D354. doi: 10.1093/nar/gkx1014</w:t>
      </w:r>
    </w:p>
    <w:p w14:paraId="1A60125F" w14:textId="77777777" w:rsidR="005E4E4D" w:rsidRPr="008036A1" w:rsidRDefault="00000000">
      <w:pPr>
        <w:ind w:left="720" w:hanging="720"/>
        <w:rPr>
          <w:lang w:val="de-DE"/>
        </w:rPr>
      </w:pPr>
      <w:r>
        <w:rPr>
          <w:sz w:val="20"/>
        </w:rPr>
        <w:t xml:space="preserve">[14] Benjamini Y, Hochberg Y. Controlling the false discovery rate: a practical and powerful approach to multiple testing. </w:t>
      </w:r>
      <w:r w:rsidRPr="008036A1">
        <w:rPr>
          <w:sz w:val="20"/>
          <w:lang w:val="de-DE"/>
        </w:rPr>
        <w:t xml:space="preserve">J R Stat Soc </w:t>
      </w:r>
      <w:proofErr w:type="spellStart"/>
      <w:r w:rsidRPr="008036A1">
        <w:rPr>
          <w:sz w:val="20"/>
          <w:lang w:val="de-DE"/>
        </w:rPr>
        <w:t>Ser</w:t>
      </w:r>
      <w:proofErr w:type="spellEnd"/>
      <w:r w:rsidRPr="008036A1">
        <w:rPr>
          <w:sz w:val="20"/>
          <w:lang w:val="de-DE"/>
        </w:rPr>
        <w:t xml:space="preserve"> B 1995; 57(1): 289-300.</w:t>
      </w:r>
    </w:p>
    <w:p w14:paraId="72AD842D" w14:textId="77777777" w:rsidR="005E4E4D" w:rsidRPr="008036A1" w:rsidRDefault="00000000">
      <w:pPr>
        <w:ind w:left="720" w:hanging="720"/>
        <w:rPr>
          <w:lang w:val="fr-FR"/>
        </w:rPr>
      </w:pPr>
      <w:r w:rsidRPr="008036A1">
        <w:rPr>
          <w:sz w:val="20"/>
          <w:lang w:val="de-DE"/>
        </w:rPr>
        <w:t xml:space="preserve">[15] Hagberg AA, Schult DA, Swart PJ. </w:t>
      </w:r>
      <w:r>
        <w:rPr>
          <w:sz w:val="20"/>
        </w:rPr>
        <w:t xml:space="preserve">Exploring network structure, dynamics, and function using NetworkX. </w:t>
      </w:r>
      <w:r w:rsidRPr="008036A1">
        <w:rPr>
          <w:sz w:val="20"/>
          <w:lang w:val="fr-FR"/>
        </w:rPr>
        <w:t xml:space="preserve">Proc </w:t>
      </w:r>
      <w:proofErr w:type="spellStart"/>
      <w:r w:rsidRPr="008036A1">
        <w:rPr>
          <w:sz w:val="20"/>
          <w:lang w:val="fr-FR"/>
        </w:rPr>
        <w:t>SciPy</w:t>
      </w:r>
      <w:proofErr w:type="spellEnd"/>
      <w:r w:rsidRPr="008036A1">
        <w:rPr>
          <w:sz w:val="20"/>
          <w:lang w:val="fr-FR"/>
        </w:rPr>
        <w:t xml:space="preserve"> </w:t>
      </w:r>
      <w:proofErr w:type="gramStart"/>
      <w:r w:rsidRPr="008036A1">
        <w:rPr>
          <w:sz w:val="20"/>
          <w:lang w:val="fr-FR"/>
        </w:rPr>
        <w:t>2008;</w:t>
      </w:r>
      <w:proofErr w:type="gramEnd"/>
      <w:r w:rsidRPr="008036A1">
        <w:rPr>
          <w:sz w:val="20"/>
          <w:lang w:val="fr-FR"/>
        </w:rPr>
        <w:t xml:space="preserve"> pp 11-15.</w:t>
      </w:r>
    </w:p>
    <w:p w14:paraId="05B49EFF" w14:textId="77777777" w:rsidR="005E4E4D" w:rsidRPr="008036A1" w:rsidRDefault="00000000">
      <w:pPr>
        <w:ind w:left="720" w:hanging="720"/>
        <w:rPr>
          <w:lang w:val="fr-FR"/>
        </w:rPr>
      </w:pPr>
      <w:r w:rsidRPr="008036A1">
        <w:rPr>
          <w:sz w:val="20"/>
          <w:lang w:val="fr-FR"/>
        </w:rPr>
        <w:t xml:space="preserve">[16] Hunter JD. </w:t>
      </w:r>
      <w:proofErr w:type="spellStart"/>
      <w:proofErr w:type="gramStart"/>
      <w:r w:rsidRPr="008036A1">
        <w:rPr>
          <w:sz w:val="20"/>
          <w:lang w:val="fr-FR"/>
        </w:rPr>
        <w:t>Matplotlib</w:t>
      </w:r>
      <w:proofErr w:type="spellEnd"/>
      <w:r w:rsidRPr="008036A1">
        <w:rPr>
          <w:sz w:val="20"/>
          <w:lang w:val="fr-FR"/>
        </w:rPr>
        <w:t>:</w:t>
      </w:r>
      <w:proofErr w:type="gramEnd"/>
      <w:r w:rsidRPr="008036A1">
        <w:rPr>
          <w:sz w:val="20"/>
          <w:lang w:val="fr-FR"/>
        </w:rPr>
        <w:t xml:space="preserve"> </w:t>
      </w:r>
      <w:proofErr w:type="spellStart"/>
      <w:r w:rsidRPr="008036A1">
        <w:rPr>
          <w:sz w:val="20"/>
          <w:lang w:val="fr-FR"/>
        </w:rPr>
        <w:t>a</w:t>
      </w:r>
      <w:proofErr w:type="spellEnd"/>
      <w:r w:rsidRPr="008036A1">
        <w:rPr>
          <w:sz w:val="20"/>
          <w:lang w:val="fr-FR"/>
        </w:rPr>
        <w:t xml:space="preserve"> 2D </w:t>
      </w:r>
      <w:proofErr w:type="spellStart"/>
      <w:r w:rsidRPr="008036A1">
        <w:rPr>
          <w:sz w:val="20"/>
          <w:lang w:val="fr-FR"/>
        </w:rPr>
        <w:t>graphics</w:t>
      </w:r>
      <w:proofErr w:type="spellEnd"/>
      <w:r w:rsidRPr="008036A1">
        <w:rPr>
          <w:sz w:val="20"/>
          <w:lang w:val="fr-FR"/>
        </w:rPr>
        <w:t xml:space="preserve"> </w:t>
      </w:r>
      <w:proofErr w:type="spellStart"/>
      <w:r w:rsidRPr="008036A1">
        <w:rPr>
          <w:sz w:val="20"/>
          <w:lang w:val="fr-FR"/>
        </w:rPr>
        <w:t>environment</w:t>
      </w:r>
      <w:proofErr w:type="spellEnd"/>
      <w:r w:rsidRPr="008036A1">
        <w:rPr>
          <w:sz w:val="20"/>
          <w:lang w:val="fr-FR"/>
        </w:rPr>
        <w:t xml:space="preserve">. Comput </w:t>
      </w:r>
      <w:proofErr w:type="spellStart"/>
      <w:r w:rsidRPr="008036A1">
        <w:rPr>
          <w:sz w:val="20"/>
          <w:lang w:val="fr-FR"/>
        </w:rPr>
        <w:t>Sci</w:t>
      </w:r>
      <w:proofErr w:type="spellEnd"/>
      <w:r w:rsidRPr="008036A1">
        <w:rPr>
          <w:sz w:val="20"/>
          <w:lang w:val="fr-FR"/>
        </w:rPr>
        <w:t xml:space="preserve"> Eng </w:t>
      </w:r>
      <w:proofErr w:type="gramStart"/>
      <w:r w:rsidRPr="008036A1">
        <w:rPr>
          <w:sz w:val="20"/>
          <w:lang w:val="fr-FR"/>
        </w:rPr>
        <w:t>2007;</w:t>
      </w:r>
      <w:proofErr w:type="gramEnd"/>
      <w:r w:rsidRPr="008036A1">
        <w:rPr>
          <w:sz w:val="20"/>
          <w:lang w:val="fr-FR"/>
        </w:rPr>
        <w:t xml:space="preserve"> 9(3</w:t>
      </w:r>
      <w:proofErr w:type="gramStart"/>
      <w:r w:rsidRPr="008036A1">
        <w:rPr>
          <w:sz w:val="20"/>
          <w:lang w:val="fr-FR"/>
        </w:rPr>
        <w:t>):</w:t>
      </w:r>
      <w:proofErr w:type="gramEnd"/>
      <w:r w:rsidRPr="008036A1">
        <w:rPr>
          <w:sz w:val="20"/>
          <w:lang w:val="fr-FR"/>
        </w:rPr>
        <w:t xml:space="preserve"> 90-95. </w:t>
      </w:r>
      <w:proofErr w:type="spellStart"/>
      <w:proofErr w:type="gramStart"/>
      <w:r w:rsidRPr="008036A1">
        <w:rPr>
          <w:sz w:val="20"/>
          <w:lang w:val="fr-FR"/>
        </w:rPr>
        <w:t>doi</w:t>
      </w:r>
      <w:proofErr w:type="spellEnd"/>
      <w:r w:rsidRPr="008036A1">
        <w:rPr>
          <w:sz w:val="20"/>
          <w:lang w:val="fr-FR"/>
        </w:rPr>
        <w:t>:</w:t>
      </w:r>
      <w:proofErr w:type="gramEnd"/>
      <w:r w:rsidRPr="008036A1">
        <w:rPr>
          <w:sz w:val="20"/>
          <w:lang w:val="fr-FR"/>
        </w:rPr>
        <w:t xml:space="preserve"> 10.1109/MCSE.2007.55</w:t>
      </w:r>
    </w:p>
    <w:p w14:paraId="7D445EA5" w14:textId="77777777" w:rsidR="005E4E4D" w:rsidRDefault="00000000">
      <w:pPr>
        <w:ind w:left="720" w:hanging="720"/>
      </w:pPr>
      <w:r w:rsidRPr="008036A1">
        <w:rPr>
          <w:sz w:val="20"/>
          <w:lang w:val="fr-FR"/>
        </w:rPr>
        <w:t xml:space="preserve">[17] Abdulla AZ, Salari MM, Rouhani M, et al. </w:t>
      </w:r>
      <w:r>
        <w:rPr>
          <w:sz w:val="20"/>
        </w:rPr>
        <w:t>Histone modification cross-talk: analytical tools and molecular mechanisms. Biochem J 2026; 483(9): 1059-1085. doi: 10.1042/BCJ20250115</w:t>
      </w:r>
    </w:p>
    <w:p w14:paraId="42EFE11E" w14:textId="77777777" w:rsidR="005E4E4D" w:rsidRDefault="00000000">
      <w:pPr>
        <w:ind w:left="720" w:hanging="720"/>
      </w:pPr>
      <w:r>
        <w:rPr>
          <w:sz w:val="20"/>
        </w:rPr>
        <w:t>[18] Rothbart SB, Strahl BD. The interplay of histone modifications - writers that read. EMBO Rep 2015; 16(12): 1627-1645. doi: 10.15252/embr.201540945</w:t>
      </w:r>
    </w:p>
    <w:p w14:paraId="079C1B70" w14:textId="77777777" w:rsidR="005E4E4D" w:rsidRDefault="00000000">
      <w:pPr>
        <w:ind w:left="720" w:hanging="720"/>
      </w:pPr>
      <w:r>
        <w:rPr>
          <w:sz w:val="20"/>
        </w:rPr>
        <w:t>[19] Torres IO, Fujimori DG. Functional coupling between writers, erasers and readers of histone and DNA methylation. Curr Opin Struct Biol 2015; 35: 68-75. doi: 10.1016/j.sbi.2015.09.007</w:t>
      </w:r>
    </w:p>
    <w:p w14:paraId="0AD53B82" w14:textId="77777777" w:rsidR="005E4E4D" w:rsidRDefault="00000000">
      <w:pPr>
        <w:ind w:left="720" w:hanging="720"/>
      </w:pPr>
      <w:r>
        <w:rPr>
          <w:sz w:val="20"/>
        </w:rPr>
        <w:t>[20] Weiner A, Lara-Astiaso D, Krupalnik V, et al. Co-ChIP enables genome-wide mapping of histone mark co-occurrence at single-molecule resolution. Nat Biotechnol 2016; 34(9): 953-961. doi: 10.1038/nbt.3652</w:t>
      </w:r>
    </w:p>
    <w:p w14:paraId="315896F6" w14:textId="77777777" w:rsidR="005E4E4D" w:rsidRDefault="00000000">
      <w:pPr>
        <w:ind w:left="720" w:hanging="720"/>
      </w:pPr>
      <w:r>
        <w:rPr>
          <w:sz w:val="20"/>
        </w:rPr>
        <w:lastRenderedPageBreak/>
        <w:t>[21] Becker JS, Nicetto D, Zaret KS. H3K9me3-dependent heterochromatin: barrier to cell fate changes. Trends Genet 2016; 32(1): 29-41. doi: 10.1016/j.tig.2015.11.001</w:t>
      </w:r>
    </w:p>
    <w:p w14:paraId="2EA41FB4" w14:textId="77777777" w:rsidR="005E4E4D" w:rsidRDefault="00000000">
      <w:pPr>
        <w:ind w:left="720" w:hanging="720"/>
      </w:pPr>
      <w:r>
        <w:rPr>
          <w:sz w:val="20"/>
        </w:rPr>
        <w:t>[22] Margueron R, Reinberg D. The Polycomb complex PRC2 and its mark in life. Nature 2011; 469(7330): 343-349. doi: 10.1038/nature09784</w:t>
      </w:r>
    </w:p>
    <w:p w14:paraId="6961090A" w14:textId="77777777" w:rsidR="005E4E4D" w:rsidRDefault="00000000">
      <w:pPr>
        <w:ind w:left="720" w:hanging="720"/>
      </w:pPr>
      <w:r>
        <w:rPr>
          <w:sz w:val="20"/>
        </w:rPr>
        <w:t>[23] Kumar D, Cinghu S, Oldfield AJ, Yang P, Jothi R. Decoding the function of bivalent chromatin in development and cancer. Genome Res 2021; 31(12): 2175-2188. doi: 10.1101/gr.275736.121</w:t>
      </w:r>
    </w:p>
    <w:p w14:paraId="4AA4BDDE" w14:textId="77777777" w:rsidR="005E4E4D" w:rsidRDefault="00000000">
      <w:pPr>
        <w:ind w:left="720" w:hanging="720"/>
      </w:pPr>
      <w:r>
        <w:rPr>
          <w:sz w:val="20"/>
        </w:rPr>
        <w:t>[24] Hyun K, Jeon J, Park K, Kim J. Writing, erasing and reading histone lysine methylations. Exp Mol Med 2017; 49(4): e324. doi: 10.1038/emm.2017.11</w:t>
      </w:r>
    </w:p>
    <w:p w14:paraId="2D14C371" w14:textId="77777777" w:rsidR="005E4E4D" w:rsidRPr="008036A1" w:rsidRDefault="00000000">
      <w:pPr>
        <w:ind w:left="720" w:hanging="720"/>
        <w:rPr>
          <w:lang w:val="fr-FR"/>
        </w:rPr>
      </w:pPr>
      <w:r>
        <w:rPr>
          <w:sz w:val="20"/>
        </w:rPr>
        <w:t xml:space="preserve">[25] Anastasakis DG, Benhalevy D, Cuburu N, Altan-Bonnet N, Hafner M. Epigenetic repression of antiviral genes by SARS-CoV-2 NSP1. </w:t>
      </w:r>
      <w:proofErr w:type="spellStart"/>
      <w:r w:rsidRPr="008036A1">
        <w:rPr>
          <w:sz w:val="20"/>
          <w:lang w:val="fr-FR"/>
        </w:rPr>
        <w:t>PLoS</w:t>
      </w:r>
      <w:proofErr w:type="spellEnd"/>
      <w:r w:rsidRPr="008036A1">
        <w:rPr>
          <w:sz w:val="20"/>
          <w:lang w:val="fr-FR"/>
        </w:rPr>
        <w:t xml:space="preserve"> One </w:t>
      </w:r>
      <w:proofErr w:type="gramStart"/>
      <w:r w:rsidRPr="008036A1">
        <w:rPr>
          <w:sz w:val="20"/>
          <w:lang w:val="fr-FR"/>
        </w:rPr>
        <w:t>2024;</w:t>
      </w:r>
      <w:proofErr w:type="gramEnd"/>
      <w:r w:rsidRPr="008036A1">
        <w:rPr>
          <w:sz w:val="20"/>
          <w:lang w:val="fr-FR"/>
        </w:rPr>
        <w:t xml:space="preserve"> 19(2</w:t>
      </w:r>
      <w:proofErr w:type="gramStart"/>
      <w:r w:rsidRPr="008036A1">
        <w:rPr>
          <w:sz w:val="20"/>
          <w:lang w:val="fr-FR"/>
        </w:rPr>
        <w:t>):</w:t>
      </w:r>
      <w:proofErr w:type="gramEnd"/>
      <w:r w:rsidRPr="008036A1">
        <w:rPr>
          <w:sz w:val="20"/>
          <w:lang w:val="fr-FR"/>
        </w:rPr>
        <w:t xml:space="preserve"> e0297262. </w:t>
      </w:r>
      <w:proofErr w:type="spellStart"/>
      <w:proofErr w:type="gramStart"/>
      <w:r w:rsidRPr="008036A1">
        <w:rPr>
          <w:sz w:val="20"/>
          <w:lang w:val="fr-FR"/>
        </w:rPr>
        <w:t>doi</w:t>
      </w:r>
      <w:proofErr w:type="spellEnd"/>
      <w:r w:rsidRPr="008036A1">
        <w:rPr>
          <w:sz w:val="20"/>
          <w:lang w:val="fr-FR"/>
        </w:rPr>
        <w:t>:</w:t>
      </w:r>
      <w:proofErr w:type="gramEnd"/>
      <w:r w:rsidRPr="008036A1">
        <w:rPr>
          <w:sz w:val="20"/>
          <w:lang w:val="fr-FR"/>
        </w:rPr>
        <w:t xml:space="preserve"> 10.1371/journal.pone.0297262</w:t>
      </w:r>
    </w:p>
    <w:p w14:paraId="109A9F12" w14:textId="77777777" w:rsidR="005E4E4D" w:rsidRPr="008036A1" w:rsidRDefault="00000000">
      <w:pPr>
        <w:ind w:left="720" w:hanging="720"/>
        <w:rPr>
          <w:lang w:val="nl-NL"/>
        </w:rPr>
      </w:pPr>
      <w:r w:rsidRPr="008036A1">
        <w:rPr>
          <w:sz w:val="20"/>
          <w:lang w:val="fr-FR"/>
        </w:rPr>
        <w:t xml:space="preserve">[26] Gordon DE, Hiatt J, </w:t>
      </w:r>
      <w:proofErr w:type="spellStart"/>
      <w:r w:rsidRPr="008036A1">
        <w:rPr>
          <w:sz w:val="20"/>
          <w:lang w:val="fr-FR"/>
        </w:rPr>
        <w:t>Bouhaddou</w:t>
      </w:r>
      <w:proofErr w:type="spellEnd"/>
      <w:r w:rsidRPr="008036A1">
        <w:rPr>
          <w:sz w:val="20"/>
          <w:lang w:val="fr-FR"/>
        </w:rPr>
        <w:t xml:space="preserve"> M, et al. </w:t>
      </w:r>
      <w:r>
        <w:rPr>
          <w:sz w:val="20"/>
        </w:rPr>
        <w:t xml:space="preserve">The main protease of SARS-CoV-2 cleaves histone deacetylases and DCP1A, attenuating the immune defense of the interferon-stimulated genes. </w:t>
      </w:r>
      <w:r w:rsidRPr="008036A1">
        <w:rPr>
          <w:sz w:val="20"/>
          <w:lang w:val="nl-NL"/>
        </w:rPr>
        <w:t xml:space="preserve">J </w:t>
      </w:r>
      <w:proofErr w:type="spellStart"/>
      <w:r w:rsidRPr="008036A1">
        <w:rPr>
          <w:sz w:val="20"/>
          <w:lang w:val="nl-NL"/>
        </w:rPr>
        <w:t>Biol</w:t>
      </w:r>
      <w:proofErr w:type="spellEnd"/>
      <w:r w:rsidRPr="008036A1">
        <w:rPr>
          <w:sz w:val="20"/>
          <w:lang w:val="nl-NL"/>
        </w:rPr>
        <w:t xml:space="preserve"> </w:t>
      </w:r>
      <w:proofErr w:type="spellStart"/>
      <w:r w:rsidRPr="008036A1">
        <w:rPr>
          <w:sz w:val="20"/>
          <w:lang w:val="nl-NL"/>
        </w:rPr>
        <w:t>Chem</w:t>
      </w:r>
      <w:proofErr w:type="spellEnd"/>
      <w:r w:rsidRPr="008036A1">
        <w:rPr>
          <w:sz w:val="20"/>
          <w:lang w:val="nl-NL"/>
        </w:rPr>
        <w:t xml:space="preserve"> 2023; 299(3): 102990. </w:t>
      </w:r>
      <w:proofErr w:type="spellStart"/>
      <w:proofErr w:type="gramStart"/>
      <w:r w:rsidRPr="008036A1">
        <w:rPr>
          <w:sz w:val="20"/>
          <w:lang w:val="nl-NL"/>
        </w:rPr>
        <w:t>doi</w:t>
      </w:r>
      <w:proofErr w:type="spellEnd"/>
      <w:proofErr w:type="gramEnd"/>
      <w:r w:rsidRPr="008036A1">
        <w:rPr>
          <w:sz w:val="20"/>
          <w:lang w:val="nl-NL"/>
        </w:rPr>
        <w:t>: 10.1016/j.jbc.2023.102990</w:t>
      </w:r>
    </w:p>
    <w:p w14:paraId="16D520ED" w14:textId="77777777" w:rsidR="005E4E4D" w:rsidRDefault="00000000">
      <w:pPr>
        <w:ind w:left="720" w:hanging="720"/>
      </w:pPr>
      <w:r w:rsidRPr="008036A1">
        <w:rPr>
          <w:sz w:val="20"/>
          <w:lang w:val="nl-NL"/>
        </w:rPr>
        <w:t xml:space="preserve">[27] Wang Y, </w:t>
      </w:r>
      <w:proofErr w:type="spellStart"/>
      <w:r w:rsidRPr="008036A1">
        <w:rPr>
          <w:sz w:val="20"/>
          <w:lang w:val="nl-NL"/>
        </w:rPr>
        <w:t>Liu</w:t>
      </w:r>
      <w:proofErr w:type="spellEnd"/>
      <w:r w:rsidRPr="008036A1">
        <w:rPr>
          <w:sz w:val="20"/>
          <w:lang w:val="nl-NL"/>
        </w:rPr>
        <w:t xml:space="preserve"> M, </w:t>
      </w:r>
      <w:proofErr w:type="spellStart"/>
      <w:r w:rsidRPr="008036A1">
        <w:rPr>
          <w:sz w:val="20"/>
          <w:lang w:val="nl-NL"/>
        </w:rPr>
        <w:t>Gao</w:t>
      </w:r>
      <w:proofErr w:type="spellEnd"/>
      <w:r w:rsidRPr="008036A1">
        <w:rPr>
          <w:sz w:val="20"/>
          <w:lang w:val="nl-NL"/>
        </w:rPr>
        <w:t xml:space="preserve"> J, et al. </w:t>
      </w:r>
      <w:r>
        <w:rPr>
          <w:sz w:val="20"/>
        </w:rPr>
        <w:t>SARS-CoV-2 restructures host chromatin architecture. Nat Microbiol 2023; 8(4): 679-694. doi: 10.1038/s41564-023-01344-8</w:t>
      </w:r>
    </w:p>
    <w:sectPr w:rsidR="005E4E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715022">
    <w:abstractNumId w:val="8"/>
  </w:num>
  <w:num w:numId="2" w16cid:durableId="580065253">
    <w:abstractNumId w:val="6"/>
  </w:num>
  <w:num w:numId="3" w16cid:durableId="985009704">
    <w:abstractNumId w:val="5"/>
  </w:num>
  <w:num w:numId="4" w16cid:durableId="1454325577">
    <w:abstractNumId w:val="4"/>
  </w:num>
  <w:num w:numId="5" w16cid:durableId="1670211479">
    <w:abstractNumId w:val="7"/>
  </w:num>
  <w:num w:numId="6" w16cid:durableId="11345478">
    <w:abstractNumId w:val="3"/>
  </w:num>
  <w:num w:numId="7" w16cid:durableId="139005281">
    <w:abstractNumId w:val="2"/>
  </w:num>
  <w:num w:numId="8" w16cid:durableId="1338577186">
    <w:abstractNumId w:val="1"/>
  </w:num>
  <w:num w:numId="9" w16cid:durableId="101692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13"/>
    <w:rsid w:val="00142C5A"/>
    <w:rsid w:val="0015074B"/>
    <w:rsid w:val="0029639D"/>
    <w:rsid w:val="00326F90"/>
    <w:rsid w:val="005E4E4D"/>
    <w:rsid w:val="008036A1"/>
    <w:rsid w:val="008B7A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2CE7C"/>
  <w14:defaultImageDpi w14:val="300"/>
  <w15:docId w15:val="{CA592F1B-D4A6-5B4D-B380-68EA81A8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C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Johnkecops/Histone_Marks_COV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5505</Words>
  <Characters>34353</Characters>
  <Application>Microsoft Office Word</Application>
  <DocSecurity>0</DocSecurity>
  <Lines>446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Reviewer</cp:lastModifiedBy>
  <cp:revision>4</cp:revision>
  <dcterms:created xsi:type="dcterms:W3CDTF">2013-12-23T23:15:00Z</dcterms:created>
  <dcterms:modified xsi:type="dcterms:W3CDTF">2026-06-24T06:00:00Z</dcterms:modified>
  <cp:category/>
</cp:coreProperties>
</file>