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400"/>
      </w:pPr>
      <w:r>
        <w:drawing>
          <wp:inline distT="0" distB="0" distL="0" distR="0">
            <wp:extent cx="23050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AFE7"/>
          <w:sz w:val="22"/>
          <w:szCs w:val="22"/>
        </w:rPr>
        <w:t xml:space="preserve">FANALCA · SAP ANALYTICS CLOUD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5EB8"/>
          <w:sz w:val="52"/>
          <w:szCs w:val="52"/>
        </w:rPr>
        <w:t xml:space="preserve">Guía de roles SAC</w:t>
      </w:r>
    </w:p>
    <w:p>
      <w:pPr>
        <w:pBdr>
          <w:bottom w:val="single" w:color="00AFE7" w:sz="18" w:space="12"/>
        </w:pBdr>
        <w:spacing w:after="480"/>
      </w:pPr>
      <w:r>
        <w:rPr>
          <w:rFonts w:ascii="Calibri" w:cs="Calibri" w:eastAsia="Calibri" w:hAnsi="Calibri"/>
          <w:color w:val="071D49"/>
          <w:sz w:val="30"/>
          <w:szCs w:val="30"/>
        </w:rPr>
        <w:t xml:space="preserve">Usuarios Planning Standard que cargan archivos con el Cargador de datos a SAC</w:t>
      </w:r>
    </w:p>
    <w:p>
      <w:pPr>
        <w:spacing w:after="160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Esta guía explica cómo dar a los usuarios con licencia </w:t>
      </w:r>
      <w:r>
        <w:rPr>
          <w:rFonts w:ascii="Calibri" w:cs="Calibri" w:eastAsia="Calibri" w:hAnsi="Calibri"/>
          <w:b/>
          <w:bCs/>
          <w:color w:val="1D2433"/>
          <w:sz w:val="22"/>
          <w:szCs w:val="22"/>
        </w:rPr>
        <w:t xml:space="preserve">SAP Analytics Cloud for Planning, Standard Edition</w:t>
      </w:r>
      <w:r>
        <w:rPr>
          <w:rFonts w:ascii="Calibri" w:cs="Calibri" w:eastAsia="Calibri" w:hAnsi="Calibri"/>
          <w:color w:val="1D2433"/>
          <w:sz w:val="22"/>
          <w:szCs w:val="22"/>
        </w:rPr>
        <w:t xml:space="preserve"> el acceso que necesitan para cargar archivos a los modelos de planeación con el </w:t>
      </w:r>
      <w:r>
        <w:rPr>
          <w:rFonts w:ascii="Calibri" w:cs="Calibri" w:eastAsia="Calibri" w:hAnsi="Calibri"/>
          <w:b/>
          <w:bCs/>
          <w:color w:val="1D2433"/>
          <w:sz w:val="22"/>
          <w:szCs w:val="22"/>
        </w:rPr>
        <w:t xml:space="preserve">Cargador de datos a SAC</w:t>
      </w:r>
      <w:r>
        <w:rPr>
          <w:rFonts w:ascii="Calibri" w:cs="Calibri" w:eastAsia="Calibri" w:hAnsi="Calibri"/>
          <w:color w:val="1D2433"/>
          <w:sz w:val="22"/>
          <w:szCs w:val="22"/>
        </w:rPr>
        <w:t xml:space="preserve">, sin asignarles una licencia Professional.</w:t>
      </w:r>
    </w:p>
    <w:p>
      <w:pPr>
        <w:spacing w:after="160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Aplica a los modelos de Fanalca (Ingresos, Gastos y EEFF FANALCA) y a los de Ciudad Limpia. Los pasos los debe ejecutar un administrador de SAC (rol con permiso de crear y asignar roles).</w:t>
      </w:r>
    </w:p>
    <w:p>
      <w:pPr>
        <w:spacing w:after="40" w:before="600"/>
      </w:pPr>
      <w:r>
        <w:rPr>
          <w:rFonts w:ascii="Calibri" w:cs="Calibri" w:eastAsia="Calibri" w:hAnsi="Calibri"/>
          <w:color w:val="5B6578"/>
          <w:sz w:val="20"/>
          <w:szCs w:val="20"/>
        </w:rPr>
        <w:t xml:space="preserve">Versión 1.0 · 5 de octubre de 2026</w:t>
      </w:r>
    </w:p>
    <w:p>
      <w:pPr>
        <w:spacing w:after="40"/>
      </w:pPr>
      <w:r>
        <w:rPr>
          <w:rFonts w:ascii="Calibri" w:cs="Calibri" w:eastAsia="Calibri" w:hAnsi="Calibri"/>
          <w:color w:val="5B6578"/>
          <w:sz w:val="20"/>
          <w:szCs w:val="20"/>
        </w:rPr>
        <w:t xml:space="preserve">Dirigido a: administradores de SAP Analytics Cloud</w:t>
      </w:r>
    </w:p>
    <w:p>
      <w:r>
        <w:br w:type="page"/>
      </w:r>
    </w:p>
    <w:p>
      <w:pPr>
        <w:pStyle w:val="Heading1"/>
      </w:pPr>
      <w:r>
        <w:t xml:space="preserve">Resumen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8"/>
        <w:gridCol w:w="6542"/>
      </w:tblGrid>
      <w:tr>
        <w:trPr>
          <w:cantSplit/>
          <w:tblHeader/>
        </w:trPr>
        <w:tc>
          <w:tcPr>
            <w:tcW w:type="dxa" w:w="3098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071D4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</w:t>
            </w:r>
          </w:p>
        </w:tc>
        <w:tc>
          <w:tcPr>
            <w:tcW w:type="dxa" w:w="6542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071D4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98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Rol base a copiar</w:t>
            </w:r>
          </w:p>
        </w:tc>
        <w:tc>
          <w:tcPr>
            <w:tcW w:type="dxa" w:w="6542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433"/>
                <w:sz w:val="18"/>
                <w:szCs w:val="18"/>
              </w:rPr>
              <w:t xml:space="preserve">Planner Reporter</w:t>
            </w: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071D49"/>
                <w:sz w:val="16"/>
                <w:szCs w:val="16"/>
                <w:shd w:fill="F4F7FB" w:color="auto" w:val="clear"/>
              </w:rPr>
              <w:t xml:space="preserve">PROFILE:sap.epm:Planner_Reporter</w:t>
            </w: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98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Nombre sugerido de la copia</w:t>
            </w:r>
          </w:p>
        </w:tc>
        <w:tc>
          <w:tcPr>
            <w:tcW w:type="dxa" w:w="6542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433"/>
                <w:sz w:val="18"/>
                <w:szCs w:val="18"/>
              </w:rPr>
              <w:t xml:space="preserve">Planificador - Carga de datos</w:t>
            </w:r>
          </w:p>
        </w:tc>
      </w:tr>
      <w:tr>
        <w:trPr>
          <w:cantSplit/>
        </w:trPr>
        <w:tc>
          <w:tcPr>
            <w:tcW w:type="dxa" w:w="3098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Licencia del rol</w:t>
            </w:r>
          </w:p>
        </w:tc>
        <w:tc>
          <w:tcPr>
            <w:tcW w:type="dxa" w:w="6542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Planning Standard (no cambiarla)</w:t>
            </w:r>
          </w:p>
        </w:tc>
      </w:tr>
      <w:tr>
        <w:trPr>
          <w:cantSplit/>
        </w:trPr>
        <w:tc>
          <w:tcPr>
            <w:tcW w:type="dxa" w:w="3098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Permiso clave</w:t>
            </w:r>
          </w:p>
        </w:tc>
        <w:tc>
          <w:tcPr>
            <w:tcW w:type="dxa" w:w="6542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433"/>
                <w:sz w:val="18"/>
                <w:szCs w:val="18"/>
              </w:rPr>
              <w:t xml:space="preserve">Planning Model: Leer + Mantener (Maintain)</w:t>
            </w:r>
          </w:p>
        </w:tc>
      </w:tr>
      <w:tr>
        <w:trPr>
          <w:cantSplit/>
        </w:trPr>
        <w:tc>
          <w:tcPr>
            <w:tcW w:type="dxa" w:w="3098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Además</w:t>
            </w:r>
          </w:p>
        </w:tc>
        <w:tc>
          <w:tcPr>
            <w:tcW w:type="dxa" w:w="6542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Compartir cada modelo con el equipo con </w:t>
            </w:r>
            <w:r>
              <w:rPr>
                <w:rFonts w:ascii="Calibri" w:cs="Calibri" w:eastAsia="Calibri" w:hAnsi="Calibri"/>
                <w:i/>
                <w:iCs/>
                <w:color w:val="1D2433"/>
                <w:sz w:val="18"/>
                <w:szCs w:val="18"/>
              </w:rPr>
              <w:t xml:space="preserve">Leer + Mantener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 xml:space="preserve">Por qué Planner Reporter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color w:val="1D2433"/>
        </w:rPr>
        <w:t xml:space="preserve">Planner Reporter</w:t>
      </w:r>
      <w:r>
        <w:rPr>
          <w:rFonts w:ascii="Calibri" w:cs="Calibri" w:eastAsia="Calibri" w:hAnsi="Calibri"/>
          <w:color w:val="1D2433"/>
        </w:rPr>
        <w:t xml:space="preserve"> es el rol estándar de SAC que consume la licencia </w:t>
      </w:r>
      <w:r>
        <w:rPr>
          <w:rFonts w:ascii="Calibri" w:cs="Calibri" w:eastAsia="Calibri" w:hAnsi="Calibri"/>
          <w:b/>
          <w:bCs/>
          <w:color w:val="1D2433"/>
        </w:rPr>
        <w:t xml:space="preserve">Planning Standard</w:t>
      </w:r>
      <w:r>
        <w:rPr>
          <w:rFonts w:ascii="Calibri" w:cs="Calibri" w:eastAsia="Calibri" w:hAnsi="Calibri"/>
          <w:color w:val="1D2433"/>
        </w:rPr>
        <w:t xml:space="preserve">. Los roles Admin, BI Admin y Planner Modeler consumen </w:t>
      </w:r>
      <w:r>
        <w:rPr>
          <w:rFonts w:ascii="Calibri" w:cs="Calibri" w:eastAsia="Calibri" w:hAnsi="Calibri"/>
          <w:b/>
          <w:bCs/>
          <w:color w:val="1D2433"/>
        </w:rPr>
        <w:t xml:space="preserve">Planning Professional</w:t>
      </w:r>
      <w:r>
        <w:rPr>
          <w:rFonts w:ascii="Calibri" w:cs="Calibri" w:eastAsia="Calibri" w:hAnsi="Calibri"/>
          <w:color w:val="1D243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color w:val="1D2433"/>
        </w:rPr>
        <w:t xml:space="preserve">La API de importación de datos de SAC (la que usa el Cargador) acepta usuarios Planning Standard.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color w:val="1D2433"/>
        </w:rPr>
        <w:t xml:space="preserve">Cuando el usuario se conecta con su propia cuenta (OAuth de usuario de negocio), SAC exige el permiso </w:t>
      </w:r>
      <w:r>
        <w:rPr>
          <w:rFonts w:ascii="Calibri" w:cs="Calibri" w:eastAsia="Calibri" w:hAnsi="Calibri"/>
          <w:b/>
          <w:bCs/>
          <w:color w:val="1D2433"/>
        </w:rPr>
        <w:t xml:space="preserve">Mantener (Maintain)</w:t>
      </w:r>
      <w:r>
        <w:rPr>
          <w:rFonts w:ascii="Calibri" w:cs="Calibri" w:eastAsia="Calibri" w:hAnsi="Calibri"/>
          <w:color w:val="1D2433"/>
        </w:rPr>
        <w:t xml:space="preserve"> sobre el objeto </w:t>
      </w:r>
      <w:r>
        <w:rPr>
          <w:rFonts w:ascii="Calibri" w:cs="Calibri" w:eastAsia="Calibri" w:hAnsi="Calibri"/>
          <w:b/>
          <w:bCs/>
          <w:color w:val="1D2433"/>
        </w:rPr>
        <w:t xml:space="preserve">Planning Model</w:t>
      </w:r>
      <w:r>
        <w:rPr>
          <w:rFonts w:ascii="Calibri" w:cs="Calibri" w:eastAsia="Calibri" w:hAnsi="Calibri"/>
          <w:color w:val="1D2433"/>
        </w:rPr>
        <w:t xml:space="preserve">, incluso si el modelo es analítico.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color w:val="1D2433"/>
        </w:rPr>
        <w:t xml:space="preserve">Mantener</w:t>
      </w:r>
      <w:r>
        <w:rPr>
          <w:rFonts w:ascii="Calibri" w:cs="Calibri" w:eastAsia="Calibri" w:hAnsi="Calibri"/>
          <w:color w:val="1D2433"/>
        </w:rPr>
        <w:t xml:space="preserve"> permite agregar o reemplazar datos en un modelo </w:t>
      </w:r>
      <w:r>
        <w:rPr>
          <w:rFonts w:ascii="Calibri" w:cs="Calibri" w:eastAsia="Calibri" w:hAnsi="Calibri"/>
          <w:b/>
          <w:bCs/>
          <w:color w:val="1D2433"/>
        </w:rPr>
        <w:t xml:space="preserve">sin cambiar su estructura</w:t>
      </w:r>
      <w:r>
        <w:rPr>
          <w:rFonts w:ascii="Calibri" w:cs="Calibri" w:eastAsia="Calibri" w:hAnsi="Calibri"/>
          <w:color w:val="1D2433"/>
        </w:rPr>
        <w:t xml:space="preserve">. Crear, Actualizar y Eliminar modelos son permisos de Professional.</w:t>
      </w:r>
    </w:p>
    <w:p>
      <w:pPr>
        <w:pBdr>
          <w:left w:val="single" w:color="B45309" w:sz="24" w:space="10"/>
        </w:pBdr>
        <w:shd w:fill="FFF4E5" w:color="auto" w:val="clear"/>
        <w:spacing w:after="160" w:before="120"/>
        <w:ind w:left="120" w:right="120"/>
      </w:pPr>
      <w:r>
        <w:rPr>
          <w:rFonts w:ascii="Calibri" w:cs="Calibri" w:eastAsia="Calibri" w:hAnsi="Calibri"/>
          <w:b/>
          <w:bCs/>
          <w:color w:val="B45309"/>
        </w:rPr>
        <w:t xml:space="preserve">Importante: </w:t>
      </w:r>
      <w:r>
        <w:rPr>
          <w:rFonts w:ascii="Calibri" w:cs="Calibri" w:eastAsia="Calibri" w:hAnsi="Calibri"/>
          <w:color w:val="1D2433"/>
        </w:rPr>
        <w:t xml:space="preserve">Nunca modifique el rol estándar Planner Reporter: SAP lo puede restablecer en una actualización. Trabaje siempre sobre una copia.</w:t>
      </w:r>
    </w:p>
    <w:p>
      <w:pPr>
        <w:pStyle w:val="Heading1"/>
      </w:pPr>
      <w:r>
        <w:t xml:space="preserve">Paso 1. Copiar el rol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En SAC abra el menú </w:t>
      </w:r>
      <w:r>
        <w:rPr>
          <w:rFonts w:ascii="Calibri" w:cs="Calibri" w:eastAsia="Calibri" w:hAnsi="Calibri"/>
          <w:b/>
          <w:bCs/>
          <w:color w:val="1D2433"/>
        </w:rPr>
        <w:t xml:space="preserve">☰ → Seguridad → Roles</w:t>
      </w:r>
      <w:r>
        <w:rPr>
          <w:rFonts w:ascii="Calibri" w:cs="Calibri" w:eastAsia="Calibri" w:hAnsi="Calibri"/>
          <w:color w:val="1D2433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Abra el rol </w:t>
      </w:r>
      <w:r>
        <w:rPr>
          <w:rFonts w:ascii="Calibri" w:cs="Calibri" w:eastAsia="Calibri" w:hAnsi="Calibri"/>
          <w:b/>
          <w:bCs/>
          <w:color w:val="1D2433"/>
        </w:rPr>
        <w:t xml:space="preserve">Planner Reporter</w:t>
      </w:r>
      <w:r>
        <w:rPr>
          <w:rFonts w:ascii="Calibri" w:cs="Calibri" w:eastAsia="Calibri" w:hAnsi="Calibri"/>
          <w:color w:val="1D2433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Use </w:t>
      </w:r>
      <w:r>
        <w:rPr>
          <w:rFonts w:ascii="Calibri" w:cs="Calibri" w:eastAsia="Calibri" w:hAnsi="Calibri"/>
          <w:b/>
          <w:bCs/>
          <w:color w:val="1D2433"/>
        </w:rPr>
        <w:t xml:space="preserve">Guardar como</w:t>
      </w:r>
      <w:r>
        <w:rPr>
          <w:rFonts w:ascii="Calibri" w:cs="Calibri" w:eastAsia="Calibri" w:hAnsi="Calibri"/>
          <w:color w:val="1D2433"/>
        </w:rPr>
        <w:t xml:space="preserve"> y nombre la copia </w:t>
      </w:r>
      <w:r>
        <w:rPr>
          <w:rFonts w:ascii="Calibri" w:cs="Calibri" w:eastAsia="Calibri" w:hAnsi="Calibri"/>
          <w:b/>
          <w:bCs/>
          <w:color w:val="1D2433"/>
        </w:rPr>
        <w:t xml:space="preserve">Planificador - Carga de datos</w:t>
      </w:r>
      <w:r>
        <w:rPr>
          <w:rFonts w:ascii="Calibri" w:cs="Calibri" w:eastAsia="Calibri" w:hAnsi="Calibri"/>
          <w:color w:val="1D2433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Verifique en la parte superior del rol que la licencia siga siendo </w:t>
      </w:r>
      <w:r>
        <w:rPr>
          <w:rFonts w:ascii="Calibri" w:cs="Calibri" w:eastAsia="Calibri" w:hAnsi="Calibri"/>
          <w:b/>
          <w:bCs/>
          <w:color w:val="1D2433"/>
        </w:rPr>
        <w:t xml:space="preserve">Planning Standard</w:t>
      </w:r>
      <w:r>
        <w:rPr>
          <w:rFonts w:ascii="Calibri" w:cs="Calibri" w:eastAsia="Calibri" w:hAnsi="Calibri"/>
          <w:color w:val="1D2433"/>
        </w:rPr>
        <w:t xml:space="preserve">.</w:t>
      </w:r>
    </w:p>
    <w:p>
      <w:pPr>
        <w:pStyle w:val="Heading1"/>
      </w:pPr>
      <w:r>
        <w:t xml:space="preserve">Paso 2. Revisar los permisos de la copia</w:t>
      </w:r>
    </w:p>
    <w:p>
      <w:pPr>
        <w:spacing w:after="120" w:before="60"/>
      </w:pPr>
      <w:r>
        <w:rPr>
          <w:rFonts w:ascii="Calibri" w:cs="Calibri" w:eastAsia="Calibri" w:hAnsi="Calibri"/>
          <w:color w:val="1D2433"/>
        </w:rPr>
        <w:t xml:space="preserve">En la matriz de permisos de la copia confirme estas casillas. Primero revise si </w:t>
      </w:r>
      <w:r>
        <w:rPr>
          <w:rFonts w:ascii="Calibri" w:cs="Calibri" w:eastAsia="Calibri" w:hAnsi="Calibri"/>
          <w:b/>
          <w:bCs/>
          <w:color w:val="1D2433"/>
        </w:rPr>
        <w:t xml:space="preserve">Mantener</w:t>
      </w:r>
      <w:r>
        <w:rPr>
          <w:rFonts w:ascii="Calibri" w:cs="Calibri" w:eastAsia="Calibri" w:hAnsi="Calibri"/>
          <w:color w:val="1D2433"/>
        </w:rPr>
        <w:t xml:space="preserve"> ya está marcado en </w:t>
      </w:r>
      <w:r>
        <w:rPr>
          <w:rFonts w:ascii="Calibri" w:cs="Calibri" w:eastAsia="Calibri" w:hAnsi="Calibri"/>
          <w:i/>
          <w:iCs/>
          <w:color w:val="1D2433"/>
        </w:rPr>
        <w:t xml:space="preserve">Planning Model</w:t>
      </w:r>
      <w:r>
        <w:rPr>
          <w:rFonts w:ascii="Calibri" w:cs="Calibri" w:eastAsia="Calibri" w:hAnsi="Calibri"/>
          <w:color w:val="1D2433"/>
        </w:rPr>
        <w:t xml:space="preserve">; según la versión del tenant puede venir activo.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953"/>
        <w:gridCol w:w="953"/>
        <w:gridCol w:w="953"/>
        <w:gridCol w:w="5298"/>
      </w:tblGrid>
      <w:tr>
        <w:trPr>
          <w:cantSplit/>
          <w:tblHeader/>
        </w:trPr>
        <w:tc>
          <w:tcPr>
            <w:tcW w:type="dxa" w:w="148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071D4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Objeto</w:t>
            </w:r>
          </w:p>
        </w:tc>
        <w:tc>
          <w:tcPr>
            <w:tcW w:type="dxa" w:w="95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071D4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Leer</w:t>
            </w:r>
          </w:p>
        </w:tc>
        <w:tc>
          <w:tcPr>
            <w:tcW w:type="dxa" w:w="95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071D4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Mantener</w:t>
            </w:r>
          </w:p>
        </w:tc>
        <w:tc>
          <w:tcPr>
            <w:tcW w:type="dxa" w:w="95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071D4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Ejecutar</w:t>
            </w:r>
          </w:p>
        </w:tc>
        <w:tc>
          <w:tcPr>
            <w:tcW w:type="dxa" w:w="5298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071D4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Planning Model</w:t>
            </w:r>
          </w:p>
        </w:tc>
        <w:tc>
          <w:tcPr>
            <w:tcW w:type="dxa" w:w="95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Sí</w:t>
            </w:r>
          </w:p>
        </w:tc>
        <w:tc>
          <w:tcPr>
            <w:tcW w:type="dxa" w:w="95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433"/>
                <w:sz w:val="18"/>
                <w:szCs w:val="18"/>
              </w:rPr>
              <w:t xml:space="preserve">Sí</w:t>
            </w:r>
          </w:p>
        </w:tc>
        <w:tc>
          <w:tcPr>
            <w:tcW w:type="dxa" w:w="95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Sí</w:t>
            </w:r>
          </w:p>
        </w:tc>
        <w:tc>
          <w:tcPr>
            <w:tcW w:type="dxa" w:w="5298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Cargar archivos con el Cargador (obligatorio)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Data Action</w:t>
            </w:r>
          </w:p>
        </w:tc>
        <w:tc>
          <w:tcPr>
            <w:tcW w:type="dxa" w:w="95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Sí</w:t>
            </w:r>
          </w:p>
        </w:tc>
        <w:tc>
          <w:tcPr>
            <w:tcW w:type="dxa" w:w="95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—</w:t>
            </w:r>
          </w:p>
        </w:tc>
        <w:tc>
          <w:tcPr>
            <w:tcW w:type="dxa" w:w="95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Sí</w:t>
            </w:r>
          </w:p>
        </w:tc>
        <w:tc>
          <w:tcPr>
            <w:tcW w:type="dxa" w:w="5298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Ejecutar los data actions después de la carga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Multi Action</w:t>
            </w:r>
          </w:p>
        </w:tc>
        <w:tc>
          <w:tcPr>
            <w:tcW w:type="dxa" w:w="95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Sí</w:t>
            </w:r>
          </w:p>
        </w:tc>
        <w:tc>
          <w:tcPr>
            <w:tcW w:type="dxa" w:w="95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—</w:t>
            </w:r>
          </w:p>
        </w:tc>
        <w:tc>
          <w:tcPr>
            <w:tcW w:type="dxa" w:w="953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Sí</w:t>
            </w:r>
          </w:p>
        </w:tc>
        <w:tc>
          <w:tcPr>
            <w:tcW w:type="dxa" w:w="5298"/>
            <w:tcBorders>
              <w:top w:val="single" w:color="D9E2EE" w:sz="4"/>
              <w:left w:val="single" w:color="D9E2EE" w:sz="4"/>
              <w:bottom w:val="single" w:color="D9E2EE" w:sz="4"/>
              <w:right w:val="single" w:color="D9E2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2433"/>
                <w:sz w:val="18"/>
                <w:szCs w:val="18"/>
              </w:rPr>
              <w:t xml:space="preserve">Solo si el usuario usa el Probador de data actions</w:t>
            </w:r>
          </w:p>
        </w:tc>
      </w:tr>
    </w:tbl>
    <w:p>
      <w:pPr>
        <w:spacing w:after="120" w:before="0"/>
      </w:pPr>
    </w:p>
    <w:p>
      <w:pPr>
        <w:pBdr>
          <w:left w:val="single" w:color="B45309" w:sz="24" w:space="10"/>
        </w:pBdr>
        <w:shd w:fill="FFF4E5" w:color="auto" w:val="clear"/>
        <w:spacing w:after="160" w:before="120"/>
        <w:ind w:left="120" w:right="120"/>
      </w:pPr>
      <w:r>
        <w:rPr>
          <w:rFonts w:ascii="Calibri" w:cs="Calibri" w:eastAsia="Calibri" w:hAnsi="Calibri"/>
          <w:b/>
          <w:bCs/>
          <w:color w:val="B45309"/>
        </w:rPr>
        <w:t xml:space="preserve">Importante: </w:t>
      </w:r>
      <w:r>
        <w:rPr>
          <w:rFonts w:ascii="Calibri" w:cs="Calibri" w:eastAsia="Calibri" w:hAnsi="Calibri"/>
          <w:b/>
          <w:bCs/>
          <w:color w:val="1D2433"/>
        </w:rPr>
        <w:t xml:space="preserve">No marque</w:t>
      </w:r>
      <w:r>
        <w:rPr>
          <w:rFonts w:ascii="Calibri" w:cs="Calibri" w:eastAsia="Calibri" w:hAnsi="Calibri"/>
          <w:color w:val="1D2433"/>
        </w:rPr>
        <w:t xml:space="preserve"> Crear, Actualizar ni Eliminar en </w:t>
      </w:r>
      <w:r>
        <w:rPr>
          <w:rFonts w:ascii="Calibri" w:cs="Calibri" w:eastAsia="Calibri" w:hAnsi="Calibri"/>
          <w:i/>
          <w:iCs/>
          <w:color w:val="1D2433"/>
        </w:rPr>
        <w:t xml:space="preserve">Planning Model</w:t>
      </w:r>
      <w:r>
        <w:rPr>
          <w:rFonts w:ascii="Calibri" w:cs="Calibri" w:eastAsia="Calibri" w:hAnsi="Calibri"/>
          <w:color w:val="1D2433"/>
        </w:rPr>
        <w:t xml:space="preserve">. Esas casillas exigen licencia Professional y SAC cambiaría la licencia del rol.</w:t>
      </w:r>
    </w:p>
    <w:p>
      <w:pPr>
        <w:spacing w:after="120" w:before="60"/>
      </w:pPr>
      <w:r>
        <w:rPr>
          <w:rFonts w:ascii="Calibri" w:cs="Calibri" w:eastAsia="Calibri" w:hAnsi="Calibri"/>
          <w:color w:val="1D2433"/>
        </w:rPr>
        <w:t xml:space="preserve">Guarde el rol.</w:t>
      </w:r>
    </w:p>
    <w:p>
      <w:pPr>
        <w:pStyle w:val="Heading1"/>
      </w:pPr>
      <w:r>
        <w:t xml:space="preserve">Paso 3. Asignar el rol</w:t>
      </w:r>
    </w:p>
    <w:p>
      <w:pPr>
        <w:pStyle w:val="ListParagraph"/>
        <w:numPr>
          <w:ilvl w:val="0"/>
          <w:numId w:val="4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Abra </w:t>
      </w:r>
      <w:r>
        <w:rPr>
          <w:rFonts w:ascii="Calibri" w:cs="Calibri" w:eastAsia="Calibri" w:hAnsi="Calibri"/>
          <w:b/>
          <w:bCs/>
          <w:color w:val="1D2433"/>
        </w:rPr>
        <w:t xml:space="preserve">☰ → Seguridad → Usuarios</w:t>
      </w:r>
      <w:r>
        <w:rPr>
          <w:rFonts w:ascii="Calibri" w:cs="Calibri" w:eastAsia="Calibri" w:hAnsi="Calibri"/>
          <w:color w:val="1D2433"/>
        </w:rPr>
        <w:t xml:space="preserve"> (o, desde el rol, la sección </w:t>
      </w:r>
      <w:r>
        <w:rPr>
          <w:rFonts w:ascii="Calibri" w:cs="Calibri" w:eastAsia="Calibri" w:hAnsi="Calibri"/>
          <w:b/>
          <w:bCs/>
          <w:color w:val="1D2433"/>
        </w:rPr>
        <w:t xml:space="preserve">Usuarios y equipos</w:t>
      </w:r>
      <w:r>
        <w:rPr>
          <w:rFonts w:ascii="Calibri" w:cs="Calibri" w:eastAsia="Calibri" w:hAnsi="Calibri"/>
          <w:color w:val="1D2433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Asigne el rol </w:t>
      </w:r>
      <w:r>
        <w:rPr>
          <w:rFonts w:ascii="Calibri" w:cs="Calibri" w:eastAsia="Calibri" w:hAnsi="Calibri"/>
          <w:b/>
          <w:bCs/>
          <w:color w:val="1D2433"/>
        </w:rPr>
        <w:t xml:space="preserve">Planificador - Carga de datos</w:t>
      </w:r>
      <w:r>
        <w:rPr>
          <w:rFonts w:ascii="Calibri" w:cs="Calibri" w:eastAsia="Calibri" w:hAnsi="Calibri"/>
          <w:color w:val="1D2433"/>
        </w:rPr>
        <w:t xml:space="preserve">. Es mejor asignarlo a un </w:t>
      </w:r>
      <w:r>
        <w:rPr>
          <w:rFonts w:ascii="Calibri" w:cs="Calibri" w:eastAsia="Calibri" w:hAnsi="Calibri"/>
          <w:b/>
          <w:bCs/>
          <w:color w:val="1D2433"/>
        </w:rPr>
        <w:t xml:space="preserve">equipo</w:t>
      </w:r>
      <w:r>
        <w:rPr>
          <w:rFonts w:ascii="Calibri" w:cs="Calibri" w:eastAsia="Calibri" w:hAnsi="Calibri"/>
          <w:color w:val="1D2433"/>
        </w:rPr>
        <w:t xml:space="preserve"> (por ejemplo </w:t>
      </w:r>
      <w:r>
        <w:rPr>
          <w:rFonts w:ascii="Calibri" w:cs="Calibri" w:eastAsia="Calibri" w:hAnsi="Calibri"/>
          <w:i/>
          <w:iCs/>
          <w:color w:val="1D2433"/>
        </w:rPr>
        <w:t xml:space="preserve">Carga de datos Fanalca</w:t>
      </w:r>
      <w:r>
        <w:rPr>
          <w:rFonts w:ascii="Calibri" w:cs="Calibri" w:eastAsia="Calibri" w:hAnsi="Calibri"/>
          <w:color w:val="1D2433"/>
        </w:rPr>
        <w:t xml:space="preserve">) que a cada usuario.</w:t>
      </w:r>
    </w:p>
    <w:p>
      <w:pPr>
        <w:pStyle w:val="ListParagraph"/>
        <w:numPr>
          <w:ilvl w:val="0"/>
          <w:numId w:val="4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Confirme que los usuarios tengan la licencia </w:t>
      </w:r>
      <w:r>
        <w:rPr>
          <w:rFonts w:ascii="Calibri" w:cs="Calibri" w:eastAsia="Calibri" w:hAnsi="Calibri"/>
          <w:b/>
          <w:bCs/>
          <w:color w:val="1D2433"/>
        </w:rPr>
        <w:t xml:space="preserve">Planning Standard</w:t>
      </w:r>
      <w:r>
        <w:rPr>
          <w:rFonts w:ascii="Calibri" w:cs="Calibri" w:eastAsia="Calibri" w:hAnsi="Calibri"/>
          <w:color w:val="1D2433"/>
        </w:rPr>
        <w:t xml:space="preserve"> asignada.</w:t>
      </w:r>
    </w:p>
    <w:p>
      <w:pPr>
        <w:pStyle w:val="Heading1"/>
      </w:pPr>
      <w:r>
        <w:t xml:space="preserve">Paso 4. Compartir cada modelo</w:t>
      </w:r>
    </w:p>
    <w:p>
      <w:pPr>
        <w:spacing w:after="120" w:before="60"/>
      </w:pPr>
      <w:r>
        <w:rPr>
          <w:rFonts w:ascii="Calibri" w:cs="Calibri" w:eastAsia="Calibri" w:hAnsi="Calibri"/>
          <w:color w:val="1D2433"/>
        </w:rPr>
        <w:t xml:space="preserve">El rol da el permiso general; además cada modelo debe estar compartido con el equipo.</w:t>
      </w:r>
    </w:p>
    <w:p>
      <w:pPr>
        <w:pStyle w:val="ListParagraph"/>
        <w:numPr>
          <w:ilvl w:val="0"/>
          <w:numId w:val="5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Abra </w:t>
      </w:r>
      <w:r>
        <w:rPr>
          <w:rFonts w:ascii="Calibri" w:cs="Calibri" w:eastAsia="Calibri" w:hAnsi="Calibri"/>
          <w:b/>
          <w:bCs/>
          <w:color w:val="1D2433"/>
        </w:rPr>
        <w:t xml:space="preserve">☰ → Archivos</w:t>
      </w:r>
      <w:r>
        <w:rPr>
          <w:rFonts w:ascii="Calibri" w:cs="Calibri" w:eastAsia="Calibri" w:hAnsi="Calibri"/>
          <w:color w:val="1D2433"/>
        </w:rPr>
        <w:t xml:space="preserve"> y ubique el modelo.</w:t>
      </w:r>
    </w:p>
    <w:p>
      <w:pPr>
        <w:pStyle w:val="ListParagraph"/>
        <w:numPr>
          <w:ilvl w:val="0"/>
          <w:numId w:val="5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Seleccione el modelo y use </w:t>
      </w:r>
      <w:r>
        <w:rPr>
          <w:rFonts w:ascii="Calibri" w:cs="Calibri" w:eastAsia="Calibri" w:hAnsi="Calibri"/>
          <w:b/>
          <w:bCs/>
          <w:color w:val="1D2433"/>
        </w:rPr>
        <w:t xml:space="preserve">Compartir</w:t>
      </w:r>
      <w:r>
        <w:rPr>
          <w:rFonts w:ascii="Calibri" w:cs="Calibri" w:eastAsia="Calibri" w:hAnsi="Calibri"/>
          <w:color w:val="1D2433"/>
        </w:rPr>
        <w:t xml:space="preserve">.</w:t>
      </w:r>
    </w:p>
    <w:p>
      <w:pPr>
        <w:pStyle w:val="ListParagraph"/>
        <w:numPr>
          <w:ilvl w:val="0"/>
          <w:numId w:val="5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Agregue el equipo y elija el acceso </w:t>
      </w:r>
      <w:r>
        <w:rPr>
          <w:rFonts w:ascii="Calibri" w:cs="Calibri" w:eastAsia="Calibri" w:hAnsi="Calibri"/>
          <w:b/>
          <w:bCs/>
          <w:color w:val="1D2433"/>
        </w:rPr>
        <w:t xml:space="preserve">Personalizado</w:t>
      </w:r>
      <w:r>
        <w:rPr>
          <w:rFonts w:ascii="Calibri" w:cs="Calibri" w:eastAsia="Calibri" w:hAnsi="Calibri"/>
          <w:color w:val="1D2433"/>
        </w:rPr>
        <w:t xml:space="preserve"> con al menos </w:t>
      </w:r>
      <w:r>
        <w:rPr>
          <w:rFonts w:ascii="Calibri" w:cs="Calibri" w:eastAsia="Calibri" w:hAnsi="Calibri"/>
          <w:b/>
          <w:bCs/>
          <w:color w:val="1D2433"/>
        </w:rPr>
        <w:t xml:space="preserve">Leer</w:t>
      </w:r>
      <w:r>
        <w:rPr>
          <w:rFonts w:ascii="Calibri" w:cs="Calibri" w:eastAsia="Calibri" w:hAnsi="Calibri"/>
          <w:color w:val="1D2433"/>
        </w:rPr>
        <w:t xml:space="preserve"> y </w:t>
      </w:r>
      <w:r>
        <w:rPr>
          <w:rFonts w:ascii="Calibri" w:cs="Calibri" w:eastAsia="Calibri" w:hAnsi="Calibri"/>
          <w:b/>
          <w:bCs/>
          <w:color w:val="1D2433"/>
        </w:rPr>
        <w:t xml:space="preserve">Mantener</w:t>
      </w:r>
      <w:r>
        <w:rPr>
          <w:rFonts w:ascii="Calibri" w:cs="Calibri" w:eastAsia="Calibri" w:hAnsi="Calibri"/>
          <w:color w:val="1D2433"/>
        </w:rPr>
        <w:t xml:space="preserve">.</w:t>
      </w:r>
    </w:p>
    <w:p>
      <w:pPr>
        <w:pStyle w:val="ListParagraph"/>
        <w:numPr>
          <w:ilvl w:val="0"/>
          <w:numId w:val="5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Repita para cada modelo que el equipo carga: </w:t>
      </w:r>
      <w:r>
        <w:rPr>
          <w:rFonts w:ascii="Calibri" w:cs="Calibri" w:eastAsia="Calibri" w:hAnsi="Calibri"/>
          <w:b/>
          <w:bCs/>
          <w:color w:val="1D2433"/>
        </w:rPr>
        <w:t xml:space="preserve">Ingresos</w:t>
      </w:r>
      <w:r>
        <w:rPr>
          <w:rFonts w:ascii="Calibri" w:cs="Calibri" w:eastAsia="Calibri" w:hAnsi="Calibri"/>
          <w:color w:val="1D2433"/>
        </w:rPr>
        <w:t xml:space="preserve">, </w:t>
      </w:r>
      <w:r>
        <w:rPr>
          <w:rFonts w:ascii="Calibri" w:cs="Calibri" w:eastAsia="Calibri" w:hAnsi="Calibri"/>
          <w:b/>
          <w:bCs/>
          <w:color w:val="1D2433"/>
        </w:rPr>
        <w:t xml:space="preserve">Gastos</w:t>
      </w:r>
      <w:r>
        <w:rPr>
          <w:rFonts w:ascii="Calibri" w:cs="Calibri" w:eastAsia="Calibri" w:hAnsi="Calibri"/>
          <w:color w:val="1D2433"/>
        </w:rPr>
        <w:t xml:space="preserve"> y </w:t>
      </w:r>
      <w:r>
        <w:rPr>
          <w:rFonts w:ascii="Calibri" w:cs="Calibri" w:eastAsia="Calibri" w:hAnsi="Calibri"/>
          <w:b/>
          <w:bCs/>
          <w:color w:val="1D2433"/>
        </w:rPr>
        <w:t xml:space="preserve">EEFF FANALCA</w:t>
      </w:r>
      <w:r>
        <w:rPr>
          <w:rFonts w:ascii="Calibri" w:cs="Calibri" w:eastAsia="Calibri" w:hAnsi="Calibri"/>
          <w:color w:val="1D2433"/>
        </w:rPr>
        <w:t xml:space="preserve"> (y los modelos de Ciudad Limpia cuando aplique).</w:t>
      </w:r>
    </w:p>
    <w:p>
      <w:pPr>
        <w:pStyle w:val="Heading1"/>
      </w:pPr>
      <w:r>
        <w:t xml:space="preserve">Paso 5. Otras restricciones que pueden bloquear la carga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color w:val="1D2433"/>
        </w:rPr>
        <w:t xml:space="preserve">Data Access Control (DAC):</w:t>
      </w:r>
      <w:r>
        <w:rPr>
          <w:rFonts w:ascii="Calibri" w:cs="Calibri" w:eastAsia="Calibri" w:hAnsi="Calibri"/>
          <w:color w:val="1D2433"/>
        </w:rPr>
        <w:t xml:space="preserve"> si las dimensiones </w:t>
      </w:r>
      <w:r>
        <w:rPr>
          <w:rFonts w:ascii="Calibri" w:cs="Calibri" w:eastAsia="Calibri" w:hAnsi="Calibri"/>
          <w:i/>
          <w:iCs/>
          <w:color w:val="1D2433"/>
        </w:rPr>
        <w:t xml:space="preserve">Sociedades</w:t>
      </w:r>
      <w:r>
        <w:rPr>
          <w:rFonts w:ascii="Calibri" w:cs="Calibri" w:eastAsia="Calibri" w:hAnsi="Calibri"/>
          <w:color w:val="1D2433"/>
        </w:rPr>
        <w:t xml:space="preserve"> o </w:t>
      </w:r>
      <w:r>
        <w:rPr>
          <w:rFonts w:ascii="Calibri" w:cs="Calibri" w:eastAsia="Calibri" w:hAnsi="Calibri"/>
          <w:i/>
          <w:iCs/>
          <w:color w:val="1D2433"/>
        </w:rPr>
        <w:t xml:space="preserve">Cebes</w:t>
      </w:r>
      <w:r>
        <w:rPr>
          <w:rFonts w:ascii="Calibri" w:cs="Calibri" w:eastAsia="Calibri" w:hAnsi="Calibri"/>
          <w:color w:val="1D2433"/>
        </w:rPr>
        <w:t xml:space="preserve"> tienen control de acceso, el usuario necesita permiso de </w:t>
      </w:r>
      <w:r>
        <w:rPr>
          <w:rFonts w:ascii="Calibri" w:cs="Calibri" w:eastAsia="Calibri" w:hAnsi="Calibri"/>
          <w:b/>
          <w:bCs/>
          <w:color w:val="1D2433"/>
        </w:rPr>
        <w:t xml:space="preserve">escritura</w:t>
      </w:r>
      <w:r>
        <w:rPr>
          <w:rFonts w:ascii="Calibri" w:cs="Calibri" w:eastAsia="Calibri" w:hAnsi="Calibri"/>
          <w:color w:val="1D2433"/>
        </w:rPr>
        <w:t xml:space="preserve"> sobre los miembros que carga.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color w:val="1D2433"/>
        </w:rPr>
        <w:t xml:space="preserve">Bloqueo de datos (Data Locking):</w:t>
      </w:r>
      <w:r>
        <w:rPr>
          <w:rFonts w:ascii="Calibri" w:cs="Calibri" w:eastAsia="Calibri" w:hAnsi="Calibri"/>
          <w:color w:val="1D2433"/>
        </w:rPr>
        <w:t xml:space="preserve"> las celdas bloqueadas o restringidas no se pueden sobrescribir.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color w:val="1D2433"/>
        </w:rPr>
        <w:t xml:space="preserve">Versión:</w:t>
      </w:r>
      <w:r>
        <w:rPr>
          <w:rFonts w:ascii="Calibri" w:cs="Calibri" w:eastAsia="Calibri" w:hAnsi="Calibri"/>
          <w:color w:val="1D2433"/>
        </w:rPr>
        <w:t xml:space="preserve"> la versión destino debe ser pública y estar habilitada para escritura. El Cargador bloquea </w:t>
      </w:r>
      <w:r>
        <w:rPr>
          <w:rFonts w:ascii="Consolas" w:cs="Consolas" w:eastAsia="Consolas" w:hAnsi="Consolas"/>
          <w:color w:val="071D49"/>
          <w:sz w:val="19"/>
          <w:szCs w:val="19"/>
          <w:shd w:fill="F4F7FB" w:color="auto" w:val="clear"/>
        </w:rPr>
        <w:t xml:space="preserve">public.Actual</w:t>
      </w:r>
      <w:r>
        <w:rPr>
          <w:rFonts w:ascii="Calibri" w:cs="Calibri" w:eastAsia="Calibri" w:hAnsi="Calibri"/>
          <w:color w:val="1D2433"/>
        </w:rPr>
        <w:t xml:space="preserve"> por defecto (variable </w:t>
      </w:r>
      <w:r>
        <w:rPr>
          <w:rFonts w:ascii="Consolas" w:cs="Consolas" w:eastAsia="Consolas" w:hAnsi="Consolas"/>
          <w:color w:val="071D49"/>
          <w:sz w:val="19"/>
          <w:szCs w:val="19"/>
          <w:shd w:fill="F4F7FB" w:color="auto" w:val="clear"/>
        </w:rPr>
        <w:t xml:space="preserve">BLOCKED_VERSIONS</w:t>
      </w:r>
      <w:r>
        <w:rPr>
          <w:rFonts w:ascii="Calibri" w:cs="Calibri" w:eastAsia="Calibri" w:hAnsi="Calibri"/>
          <w:color w:val="1D2433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color w:val="1D2433"/>
        </w:rPr>
        <w:t xml:space="preserve">Gestión de datos del Modelador:</w:t>
      </w:r>
      <w:r>
        <w:rPr>
          <w:rFonts w:ascii="Calibri" w:cs="Calibri" w:eastAsia="Calibri" w:hAnsi="Calibri"/>
          <w:color w:val="1D2433"/>
        </w:rPr>
        <w:t xml:space="preserve"> los usuarios Planning Standard cargan con el Cargador, no desde </w:t>
      </w:r>
      <w:r>
        <w:rPr>
          <w:rFonts w:ascii="Calibri" w:cs="Calibri" w:eastAsia="Calibri" w:hAnsi="Calibri"/>
          <w:i/>
          <w:iCs/>
          <w:color w:val="1D2433"/>
        </w:rPr>
        <w:t xml:space="preserve">Modelador → Gestión de datos</w:t>
      </w:r>
      <w:r>
        <w:rPr>
          <w:rFonts w:ascii="Calibri" w:cs="Calibri" w:eastAsia="Calibri" w:hAnsi="Calibri"/>
          <w:color w:val="1D2433"/>
        </w:rPr>
        <w:t xml:space="preserve">, que exige el permiso Crear (Professional).</w:t>
      </w:r>
    </w:p>
    <w:p>
      <w:pPr>
        <w:pStyle w:val="Heading1"/>
      </w:pPr>
      <w:r>
        <w:t xml:space="preserve">Prueba</w:t>
      </w:r>
    </w:p>
    <w:p>
      <w:pPr>
        <w:pStyle w:val="ListParagraph"/>
        <w:numPr>
          <w:ilvl w:val="0"/>
          <w:numId w:val="6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Con un usuario Planning Standard, cargue un archivo pequeño en una versión de pruebas.</w:t>
      </w:r>
    </w:p>
    <w:p>
      <w:pPr>
        <w:pStyle w:val="ListParagraph"/>
        <w:numPr>
          <w:ilvl w:val="0"/>
          <w:numId w:val="6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Si la carga termina bien, el acceso está completo.</w:t>
      </w:r>
    </w:p>
    <w:p>
      <w:pPr>
        <w:pStyle w:val="ListParagraph"/>
        <w:numPr>
          <w:ilvl w:val="0"/>
          <w:numId w:val="6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Si aparece el mensaje </w:t>
      </w:r>
      <w:r>
        <w:rPr>
          <w:rFonts w:ascii="Calibri" w:cs="Calibri" w:eastAsia="Calibri" w:hAnsi="Calibri"/>
          <w:i/>
          <w:iCs/>
          <w:color w:val="1D2433"/>
        </w:rPr>
        <w:t xml:space="preserve">"Su usuario no tiene permisos en SAC para esta operación o modelo"</w:t>
      </w:r>
      <w:r>
        <w:rPr>
          <w:rFonts w:ascii="Calibri" w:cs="Calibri" w:eastAsia="Calibri" w:hAnsi="Calibri"/>
          <w:color w:val="1D2433"/>
        </w:rPr>
        <w:t xml:space="preserve"> (error 403):</w:t>
      </w:r>
    </w:p>
    <w:p>
      <w:pPr>
        <w:pStyle w:val="ListParagraph"/>
        <w:numPr>
          <w:ilvl w:val="1"/>
          <w:numId w:val="7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Revise primero el </w:t>
      </w:r>
      <w:r>
        <w:rPr>
          <w:rFonts w:ascii="Calibri" w:cs="Calibri" w:eastAsia="Calibri" w:hAnsi="Calibri"/>
          <w:b/>
          <w:bCs/>
          <w:color w:val="1D2433"/>
        </w:rPr>
        <w:t xml:space="preserve">Paso 4</w:t>
      </w:r>
      <w:r>
        <w:rPr>
          <w:rFonts w:ascii="Calibri" w:cs="Calibri" w:eastAsia="Calibri" w:hAnsi="Calibri"/>
          <w:color w:val="1D2433"/>
        </w:rPr>
        <w:t xml:space="preserve"> (el modelo compartido con </w:t>
      </w:r>
      <w:r>
        <w:rPr>
          <w:rFonts w:ascii="Calibri" w:cs="Calibri" w:eastAsia="Calibri" w:hAnsi="Calibri"/>
          <w:i/>
          <w:iCs/>
          <w:color w:val="1D2433"/>
        </w:rPr>
        <w:t xml:space="preserve">Mantener</w:t>
      </w:r>
      <w:r>
        <w:rPr>
          <w:rFonts w:ascii="Calibri" w:cs="Calibri" w:eastAsia="Calibri" w:hAnsi="Calibri"/>
          <w:color w:val="1D2433"/>
        </w:rPr>
        <w:t xml:space="preserve">).</w:t>
      </w:r>
    </w:p>
    <w:p>
      <w:pPr>
        <w:pStyle w:val="ListParagraph"/>
        <w:numPr>
          <w:ilvl w:val="1"/>
          <w:numId w:val="7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Luego el </w:t>
      </w:r>
      <w:r>
        <w:rPr>
          <w:rFonts w:ascii="Calibri" w:cs="Calibri" w:eastAsia="Calibri" w:hAnsi="Calibri"/>
          <w:b/>
          <w:bCs/>
          <w:color w:val="1D2433"/>
        </w:rPr>
        <w:t xml:space="preserve">Paso 2</w:t>
      </w:r>
      <w:r>
        <w:rPr>
          <w:rFonts w:ascii="Calibri" w:cs="Calibri" w:eastAsia="Calibri" w:hAnsi="Calibri"/>
          <w:color w:val="1D2433"/>
        </w:rPr>
        <w:t xml:space="preserve"> (casilla </w:t>
      </w:r>
      <w:r>
        <w:rPr>
          <w:rFonts w:ascii="Calibri" w:cs="Calibri" w:eastAsia="Calibri" w:hAnsi="Calibri"/>
          <w:i/>
          <w:iCs/>
          <w:color w:val="1D2433"/>
        </w:rPr>
        <w:t xml:space="preserve">Mantener</w:t>
      </w:r>
      <w:r>
        <w:rPr>
          <w:rFonts w:ascii="Calibri" w:cs="Calibri" w:eastAsia="Calibri" w:hAnsi="Calibri"/>
          <w:color w:val="1D2433"/>
        </w:rPr>
        <w:t xml:space="preserve"> en Planning Model).</w:t>
      </w:r>
    </w:p>
    <w:p>
      <w:pPr>
        <w:pStyle w:val="ListParagraph"/>
        <w:numPr>
          <w:ilvl w:val="1"/>
          <w:numId w:val="7"/>
        </w:numPr>
        <w:spacing w:after="50" w:before="30"/>
      </w:pPr>
      <w:r>
        <w:rPr>
          <w:rFonts w:ascii="Calibri" w:cs="Calibri" w:eastAsia="Calibri" w:hAnsi="Calibri"/>
          <w:color w:val="1D2433"/>
        </w:rPr>
        <w:t xml:space="preserve">Por último el </w:t>
      </w:r>
      <w:r>
        <w:rPr>
          <w:rFonts w:ascii="Calibri" w:cs="Calibri" w:eastAsia="Calibri" w:hAnsi="Calibri"/>
          <w:b/>
          <w:bCs/>
          <w:color w:val="1D2433"/>
        </w:rPr>
        <w:t xml:space="preserve">Data Access Control</w:t>
      </w:r>
      <w:r>
        <w:rPr>
          <w:rFonts w:ascii="Calibri" w:cs="Calibri" w:eastAsia="Calibri" w:hAnsi="Calibri"/>
          <w:color w:val="1D2433"/>
        </w:rPr>
        <w:t xml:space="preserve"> del Paso 5.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color w:val="1D2433"/>
        </w:rPr>
        <w:t xml:space="preserve">SAP Help: </w:t>
      </w:r>
      <w:hyperlink w:history="1" r:id="rIdvicww1xwonfgcpfvnjrzg">
        <w:r>
          <w:rPr>
            <w:rStyle w:val="Hyperlink"/>
            <w:rFonts w:ascii="Calibri" w:cs="Calibri" w:eastAsia="Calibri" w:hAnsi="Calibri"/>
          </w:rPr>
          <w:t xml:space="preserve">Permisos de los roles estándar</w:t>
        </w:r>
      </w:hyperlink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color w:val="1D2433"/>
        </w:rPr>
        <w:t xml:space="preserve">SAP Help: </w:t>
      </w:r>
      <w:hyperlink w:history="1" r:id="rIdwkivplrwyp6fb-wacn477">
        <w:r>
          <w:rPr>
            <w:rStyle w:val="Hyperlink"/>
            <w:rFonts w:ascii="Calibri" w:cs="Calibri" w:eastAsia="Calibri" w:hAnsi="Calibri"/>
          </w:rPr>
          <w:t xml:space="preserve">Licencias de planificación y roles</w:t>
        </w:r>
      </w:hyperlink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color w:val="1D2433"/>
        </w:rPr>
        <w:t xml:space="preserve">SAP Help: </w:t>
      </w:r>
      <w:hyperlink w:history="1" r:id="rIdxcxq3fexxhg2t26ovaih5">
        <w:r>
          <w:rPr>
            <w:rStyle w:val="Hyperlink"/>
            <w:rFonts w:ascii="Calibri" w:cs="Calibri" w:eastAsia="Calibri" w:hAnsi="Calibri"/>
          </w:rPr>
          <w:t xml:space="preserve">Permisos de la API de importación de datos</w:t>
        </w:r>
      </w:hyperlink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color w:val="1D2433"/>
        </w:rPr>
        <w:t xml:space="preserve">SAP Help: </w:t>
      </w:r>
      <w:hyperlink w:history="1" r:id="rIdyfktff39mzjsgt1uif-az">
        <w:r>
          <w:rPr>
            <w:rStyle w:val="Hyperlink"/>
            <w:rFonts w:ascii="Calibri" w:cs="Calibri" w:eastAsia="Calibri" w:hAnsi="Calibri"/>
          </w:rPr>
          <w:t xml:space="preserve">Compartir modelos</w:t>
        </w:r>
      </w:hyperlink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color w:val="1D2433"/>
        </w:rPr>
        <w:t xml:space="preserve">SAP KBA </w:t>
      </w:r>
      <w:hyperlink w:history="1" r:id="rIdsnvzglhxtg8brznghrhl3">
        <w:r>
          <w:rPr>
            <w:rStyle w:val="Hyperlink"/>
            <w:rFonts w:ascii="Calibri" w:cs="Calibri" w:eastAsia="Calibri" w:hAnsi="Calibri"/>
          </w:rPr>
          <w:t xml:space="preserve">3380048</w:t>
        </w:r>
      </w:hyperlink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color w:val="1D2433"/>
        </w:rPr>
        <w:t xml:space="preserve">SAP KBA </w:t>
      </w:r>
      <w:hyperlink w:history="1" r:id="rIdczbixjrgp2xvrmjxjefxh">
        <w:r>
          <w:rPr>
            <w:rStyle w:val="Hyperlink"/>
            <w:rFonts w:ascii="Calibri" w:cs="Calibri" w:eastAsia="Calibri" w:hAnsi="Calibri"/>
          </w:rPr>
          <w:t xml:space="preserve">2604397</w:t>
        </w:r>
      </w:hyperlink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300" w:bottom="1200" w:left="13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5B6578"/>
        <w:sz w:val="16"/>
        <w:szCs w:val="16"/>
      </w:rPr>
      <w:t xml:space="preserve">Fanalca · Planeación financiera</w:t>
    </w:r>
    <w:r>
      <w:rPr>
        <w:rFonts w:ascii="Calibri" w:cs="Calibri" w:eastAsia="Calibri" w:hAnsi="Calibri"/>
        <w:color w:val="5B6578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FE7" w:sz="6" w:space="4"/>
      </w:pBdr>
      <w:tabs>
        <w:tab w:val="right" w:pos="9640"/>
      </w:tabs>
    </w:pPr>
    <w:r>
      <w:drawing>
        <wp:inline distT="0" distB="0" distL="0" distR="0">
          <wp:extent cx="923925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071D49"/>
        <w:sz w:val="16"/>
        <w:szCs w:val="16"/>
      </w:rPr>
      <w:t xml:space="preserve">	Guía de roles SAC · Cargador de datos a SAC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005EB8"/>
      </w:rPr>
    </w:lvl>
    <w:lvl w:ilvl="1" w15:tentative="1">
      <w:start w:val="1"/>
      <w:numFmt w:val="bullet"/>
      <w:lvlText w:val="–"/>
      <w:lvlJc w:val="left"/>
      <w:pPr>
        <w:ind w:left="720" w:hanging="260"/>
      </w:pPr>
      <w:rPr>
        <w:color w:val="005EB8"/>
      </w:rPr>
    </w:lvl>
    <w:lvl w:ilvl="2" w15:tentative="1">
      <w:start w:val="1"/>
      <w:numFmt w:val="bullet"/>
      <w:lvlText w:val="·"/>
      <w:lvlJc w:val="left"/>
      <w:pPr>
        <w:ind w:left="1080" w:hanging="260"/>
      </w:pPr>
      <w:rPr>
        <w:color w:val="005EB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005EB8"/>
      </w:rPr>
    </w:lvl>
    <w:lvl w:ilvl="1" w15:tentative="1">
      <w:start w:val="1"/>
      <w:numFmt w:val="lowerLetter"/>
      <w:lvlText w:val="%2."/>
      <w:lvlJc w:val="left"/>
      <w:pPr>
        <w:ind w:left="720" w:hanging="300"/>
      </w:pPr>
      <w:rPr>
        <w:b/>
        <w:bCs/>
        <w:color w:val="005EB8"/>
      </w:rPr>
    </w:lvl>
    <w:lvl w:ilvl="2" w15:tentative="1">
      <w:start w:val="1"/>
      <w:numFmt w:val="lowerRoman"/>
      <w:lvlText w:val="%3."/>
      <w:lvlJc w:val="left"/>
      <w:pPr>
        <w:ind w:left="1080" w:hanging="300"/>
      </w:pPr>
      <w:rPr>
        <w:b/>
        <w:bCs/>
        <w:color w:val="005EB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4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00AFE7" w:sz="12" w:space="4"/>
      </w:pBdr>
      <w:spacing w:after="140" w:before="360"/>
      <w:outlineLvl w:val="0"/>
    </w:pPr>
    <w:rPr>
      <w:rFonts w:ascii="Calibri" w:cs="Calibri" w:eastAsia="Calibri" w:hAnsi="Calibri"/>
      <w:b/>
      <w:bCs/>
      <w:caps/>
      <w:color w:val="005EB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071D49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05EB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vicww1xwonfgcpfvnjrzg" Type="http://schemas.openxmlformats.org/officeDocument/2006/relationships/hyperlink" Target="https://help.sap.com/docs/SAP_ANALYTICS_CLOUD/14cac91febef464dbb1efce20e3f1613/fe6efb8aba9444c6a3ce21eef02bba62.html" TargetMode="External"/><Relationship Id="rIdwkivplrwyp6fb-wacn477" Type="http://schemas.openxmlformats.org/officeDocument/2006/relationships/hyperlink" Target="https://help.sap.com/docs/SAP_ANALYTICS_CLOUD/00f68c2e08b941f081002fd3691d86a7/e61ce06c6bb2428eb649fb6ccba73c79.html" TargetMode="External"/><Relationship Id="rIdxcxq3fexxhg2t26ovaih5" Type="http://schemas.openxmlformats.org/officeDocument/2006/relationships/hyperlink" Target="https://help.sap.com/docs/SAP_ANALYTICS_CLOUD/00f68c2e08b941f081002fd3691d86a7/93fec5646f144e109745ce74fd492c3f.html" TargetMode="External"/><Relationship Id="rIdyfktff39mzjsgt1uif-az" Type="http://schemas.openxmlformats.org/officeDocument/2006/relationships/hyperlink" Target="https://help.sap.com/docs/SAP_ANALYTICS_CLOUD/00f68c2e08b941f081002fd3691d86a7/44b47657d843475581824fb328156e7d.html" TargetMode="External"/><Relationship Id="rIdsnvzglhxtg8brznghrhl3" Type="http://schemas.openxmlformats.org/officeDocument/2006/relationships/hyperlink" Target="https://userapps.support.sap.com/sap/support/knowledge/en/3380048" TargetMode="External"/><Relationship Id="rIdczbixjrgp2xvrmjxjefxh" Type="http://schemas.openxmlformats.org/officeDocument/2006/relationships/hyperlink" Target="https://userapps.support.sap.com/sap/support/knowledge/en/2604397" TargetMode="External"/><Relationship Id="rId11" Type="http://schemas.openxmlformats.org/officeDocument/2006/relationships/image" Target="media/7309615099e7c5d2a09daee050707eb2d8719c3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309615099e7c5d2a09daee050707eb2d8719c38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roles SAC: usuarios Planning Standard que cargan archivos</dc:title>
  <dc:creator>Fanalca · Planeación financiera</dc:creator>
  <cp:lastModifiedBy>Un-named</cp:lastModifiedBy>
  <cp:revision>1</cp:revision>
  <dcterms:created xsi:type="dcterms:W3CDTF">2026-10-05T21:54:04.345Z</dcterms:created>
  <dcterms:modified xsi:type="dcterms:W3CDTF">2026-10-05T21:54:04.346Z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