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3369"/>
          </w:tcPr>
          <w:p>
            <w:pPr>
              <w:spacing w:before="120" w:after="120"/>
            </w:pPr>
            <w:r>
              <w:rPr>
                <w:b/>
                <w:color w:val="FFFFFF"/>
                <w:sz w:val="22"/>
              </w:rPr>
              <w:t xml:space="preserve">  SAP Analytics Cloud  |  Documento de Diseño de Solución</w:t>
            </w:r>
          </w:p>
        </w:tc>
      </w:tr>
    </w:tbl>
    <w:p>
      <w:pPr>
        <w:spacing w:after="800"/>
      </w:pPr>
    </w:p>
    <w:p>
      <w:pPr>
        <w:spacing w:after="320"/>
        <w:jc w:val="center"/>
      </w:pPr>
      <w:r>
        <w:rPr>
          <w:b/>
          <w:color w:val="003369"/>
          <w:sz w:val="64"/>
        </w:rPr>
        <w:t>Modelos de Planificación</w:t>
        <w:br/>
        <w:t>y Reporte Financiero</w:t>
      </w:r>
    </w:p>
    <w:p>
      <w:pPr>
        <w:spacing w:after="160"/>
        <w:jc w:val="center"/>
      </w:pPr>
      <w:r>
        <w:rPr>
          <w:color w:val="00619A"/>
          <w:sz w:val="36"/>
        </w:rPr>
        <w:t>Ciudad Limpia  ·  Grupo Fanalca</w:t>
      </w:r>
    </w:p>
    <w:p>
      <w:pPr>
        <w:spacing w:after="1200"/>
        <w:jc w:val="center"/>
      </w:pPr>
      <w:r>
        <w:rPr>
          <w:i/>
          <w:color w:val="757575"/>
          <w:sz w:val="28"/>
        </w:rPr>
        <w:t>Proyecto SAP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0619A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 xml:space="preserve">  Versión</w:t>
            </w:r>
          </w:p>
        </w:tc>
        <w:tc>
          <w:tcPr>
            <w:tcW w:type="dxa" w:w="5040"/>
            <w:shd w:val="clear" w:color="auto" w:fill="E8F4FD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>
            <w:r>
              <w:rPr>
                <w:color w:val="353535"/>
                <w:sz w:val="20"/>
              </w:rPr>
              <w:t xml:space="preserve">  2.0</w:t>
            </w:r>
          </w:p>
        </w:tc>
      </w:tr>
      <w:tr>
        <w:tc>
          <w:tcPr>
            <w:tcW w:type="dxa" w:w="2880"/>
            <w:shd w:val="clear" w:color="auto" w:fill="00619A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 xml:space="preserve">  Fecha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>
            <w:r>
              <w:rPr>
                <w:color w:val="353535"/>
                <w:sz w:val="20"/>
              </w:rPr>
              <w:t xml:space="preserve">  Junio 2026</w:t>
            </w:r>
          </w:p>
        </w:tc>
      </w:tr>
      <w:tr>
        <w:tc>
          <w:tcPr>
            <w:tcW w:type="dxa" w:w="2880"/>
            <w:shd w:val="clear" w:color="auto" w:fill="00619A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 xml:space="preserve">  Estado</w:t>
            </w:r>
          </w:p>
        </w:tc>
        <w:tc>
          <w:tcPr>
            <w:tcW w:type="dxa" w:w="5040"/>
            <w:shd w:val="clear" w:color="auto" w:fill="E8F4FD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>
            <w:r>
              <w:rPr>
                <w:color w:val="353535"/>
                <w:sz w:val="20"/>
              </w:rPr>
              <w:t xml:space="preserve">  Borrador para Validación</w:t>
            </w:r>
          </w:p>
        </w:tc>
      </w:tr>
      <w:tr>
        <w:tc>
          <w:tcPr>
            <w:tcW w:type="dxa" w:w="2880"/>
            <w:shd w:val="clear" w:color="auto" w:fill="00619A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 xml:space="preserve">  Clasificación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>
            <w:r>
              <w:rPr>
                <w:color w:val="353535"/>
                <w:sz w:val="20"/>
              </w:rPr>
              <w:t xml:space="preserve">  Confidencial</w:t>
            </w:r>
          </w:p>
        </w:tc>
      </w:tr>
      <w:tr>
        <w:tc>
          <w:tcPr>
            <w:tcW w:type="dxa" w:w="2880"/>
            <w:shd w:val="clear" w:color="auto" w:fill="00619A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r>
              <w:rPr>
                <w:b/>
                <w:color w:val="FFFFFF"/>
                <w:sz w:val="20"/>
              </w:rPr>
              <w:t xml:space="preserve">  Sesión base</w:t>
            </w:r>
          </w:p>
        </w:tc>
        <w:tc>
          <w:tcPr>
            <w:tcW w:type="dxa" w:w="5040"/>
            <w:shd w:val="clear" w:color="auto" w:fill="E8F4FD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>
            <w:r>
              <w:rPr>
                <w:color w:val="353535"/>
                <w:sz w:val="20"/>
              </w:rPr>
              <w:t xml:space="preserve">  Diseño N°1 — 22 de mayo de 2026</w:t>
            </w:r>
          </w:p>
        </w:tc>
      </w:tr>
    </w:tbl>
    <w:p>
      <w:pPr>
        <w:spacing w:after="10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3369"/>
          </w:tcPr>
          <w:p>
            <w:pPr>
              <w:spacing w:before="100" w:after="100"/>
            </w:pPr>
            <w:r>
              <w:rPr>
                <w:color w:val="CCDDEE"/>
                <w:sz w:val="18"/>
              </w:rPr>
              <w:t xml:space="preserve">  Elaborado por: Equipo SAP Analytics Cloud  |  Confidencial — Solo para uso interno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color="003369"/>
        </w:pBdr>
      </w:pPr>
      <w:r>
        <w:rPr>
          <w:b/>
          <w:color w:val="003369"/>
          <w:sz w:val="32"/>
        </w:rPr>
        <w:t>1. Propósito del Documento</w:t>
      </w:r>
    </w:p>
    <w:p>
      <w:pPr>
        <w:spacing w:after="120" w:before="0"/>
      </w:pPr>
      <w:r>
        <w:rPr>
          <w:b w:val="0"/>
          <w:i w:val="0"/>
          <w:color w:val="353535"/>
          <w:sz w:val="20"/>
        </w:rPr>
        <w:t>Este documento describe el diseño técnico y funcional de los modelos de datos implementados en SAP Analytics Cloud (SAC) para Ciudad Limpia y las sociedades del Grupo Fanalca. Incorpora los acuerdos y decisiones tomadas durante la Sesión de Diseño N°1 (22-May-2026), en la que Planeación Financiera expuso el proceso presupuestal actual.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3369"/>
            <w:tcBorders>
              <w:top w:val="single" w:sz="6" w:color="003369"/>
              <w:bottom w:val="single" w:sz="6" w:color="003369"/>
              <w:left w:val="single" w:sz="6" w:color="003369"/>
              <w:right w:val="single" w:sz="6" w:color="003369"/>
            </w:tcBorders>
          </w:tcPr>
          <w:p>
            <w:r>
              <w:rPr>
                <w:b/>
                <w:color w:val="FFFFFF"/>
                <w:sz w:val="20"/>
              </w:rPr>
              <w:t xml:space="preserve">  Alcance del documento</w:t>
            </w:r>
          </w:p>
        </w:tc>
      </w:tr>
      <w:tr>
        <w:tc>
          <w:tcPr>
            <w:tcW w:type="dxa" w:w="9406"/>
            <w:shd w:val="clear" w:color="auto" w:fill="E8F4FD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/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Estructura de los 3 modelos SAC: Ingresos, Gastos/Costos y EEFF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Decisiones de diseño y métodos de carga acordados en sesión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Temas en Parking Lot que requieren sesiones adicionales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Flujos de integración: SAP S/4HANA, Excel y entrada manual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Criterios de seguridad, acceso y gobierno de datos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color="003369"/>
        </w:pBdr>
      </w:pPr>
      <w:r>
        <w:rPr>
          <w:b/>
          <w:color w:val="003369"/>
          <w:sz w:val="32"/>
        </w:rPr>
        <w:t>2. Cómo Usar el Documento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648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Uso recomendado</w:t>
            </w:r>
          </w:p>
        </w:tc>
      </w:tr>
      <w:tr>
        <w:tc>
          <w:tcPr>
            <w:tcW w:type="dxa" w:w="4703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Consultores SAC / Equipo técnico</w:t>
            </w:r>
          </w:p>
        </w:tc>
        <w:tc>
          <w:tcPr>
            <w:tcW w:type="dxa" w:w="4703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Referencia para construcción y configuración de modelos.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Líderes funcionales del cliente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Validar que el diseño refleja correctamente los requisitos.</w:t>
            </w:r>
          </w:p>
        </w:tc>
      </w:tr>
      <w:tr>
        <w:tc>
          <w:tcPr>
            <w:tcW w:type="dxa" w:w="4703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Equipo de TI</w:t>
            </w:r>
          </w:p>
        </w:tc>
        <w:tc>
          <w:tcPr>
            <w:tcW w:type="dxa" w:w="4703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Comprender integración S/4HANA y flujos de datos.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Gerentes de proyecto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Seguimiento al alcance y completitud del diseño.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color="003369"/>
        </w:pBdr>
      </w:pPr>
      <w:r>
        <w:rPr>
          <w:b/>
          <w:color w:val="003369"/>
          <w:sz w:val="32"/>
        </w:rPr>
        <w:t>3. Escenario / Proceso de Negocio</w:t>
      </w:r>
    </w:p>
    <w:p>
      <w:pPr>
        <w:spacing w:after="120" w:before="0"/>
      </w:pPr>
      <w:r>
        <w:rPr>
          <w:b w:val="0"/>
          <w:i w:val="0"/>
          <w:color w:val="353535"/>
          <w:sz w:val="20"/>
        </w:rPr>
        <w:t>Ciudad Limpia es una empresa de servicios públicos de aseo urbano que opera en Bogotá, Neiva, Huila y otros municipios. Sus empresas relacionadas CGS y RH gestionan residuos peligrosos y aprovechamiento. El proceso presupuestal actual está íntegramente basado en macros Excel, con consolidación manual en Planeación Financiera.</w:t>
      </w:r>
    </w:p>
    <w:p>
      <w:pPr>
        <w:spacing w:before="280" w:after="120"/>
      </w:pPr>
      <w:r>
        <w:rPr>
          <w:b/>
          <w:color w:val="00619A"/>
          <w:sz w:val="26"/>
        </w:rPr>
        <w:t>3.1 Objetivos Empresariales y Beneficios Esperados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03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432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Beneficio Esperado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OE-01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Centralizar información financiera en SAC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Fin de la fragmentación en decenas de Excel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OE-02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Automatizar consolidación del presupuesto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Proceso de semanas → horas/minutos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OE-03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Habilitar forecast ágil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Actualización rápida ante cambios de tarifa o dotación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OE-04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Visibilidad en tiempo real para gerentes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Cada área consulta SAC sin intermediar a Planeación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OE-05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Auditoría y trazabilidad completa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Origen claro de cada dato: real, presupuesto, manual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OE-06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Generar EEFF con mínima intervención manual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Reducción de errores en cierre mensual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0619A"/>
          <w:sz w:val="26"/>
        </w:rPr>
        <w:t>3.2 Requisitos Empresariales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88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547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RE-01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Ingresos ordinarios Ciudad Limpia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Cargar valor total por componente desde resumen del jefe de tarifas. Sin replicar cálculo tarifario complejo.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RE-02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Ingresos CGS y RH (P×Q)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Cálculo tarifa × toneladas/kilos por cliente y tipo de residuo. Se hace seguimiento de cantidades.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RE-03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Plantilla genérica de gastos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Una plantilla Excel estándar para todas las ~17 áreas. Planeación Financiera consolida y carga.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RE-04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Costos de flota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Un CECO por vehículo. Rubros: repuestos, llantas, combustibles, lubricantes.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RE-05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Mano de obra (Parking Lot)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~80% del costo. Sesión dedicada de diseño. Propuesta basada en modelo referencial.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RE-06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Estados Financieros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P&amp;G fluye automáticamente. Balance y Flujo: cuentas adicionales por carga manual.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RE-07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Multimoneda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Soporte de múltiples monedas por sociedad.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RE-08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Gestión de versiones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Actual / Presupuesto / Forecast. Regla: siempre el dato final autorizado; sin acumulación.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RE-09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Auditoría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Dimensión AUDITORIA para identificar origen de cada dato.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RE-10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Opciones de carga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Reemplazar / Acumular / Borrar y recargar. Estándar acordado: Reemplazar con dato definitivo.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RE-11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Dashboards y KPIs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Filtros por sociedad/área/período. Exportable PDF/PPT. KPIs: toneladas, km, usuarios, árboles.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color="003369"/>
        </w:pBdr>
      </w:pPr>
      <w:r>
        <w:rPr>
          <w:b/>
          <w:color w:val="003369"/>
          <w:sz w:val="32"/>
        </w:rPr>
        <w:t>4. Estructura Organizativa Relevante</w:t>
      </w:r>
    </w:p>
    <w:p>
      <w:pPr>
        <w:spacing w:before="280" w:after="120"/>
      </w:pPr>
      <w:r>
        <w:rPr>
          <w:b/>
          <w:color w:val="00619A"/>
          <w:sz w:val="26"/>
        </w:rPr>
        <w:t>4.1 Sociedades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Sociedad</w:t>
            </w:r>
          </w:p>
        </w:tc>
        <w:tc>
          <w:tcPr>
            <w:tcW w:type="dxa" w:w="187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Empleados</w:t>
            </w:r>
          </w:p>
        </w:tc>
        <w:tc>
          <w:tcPr>
            <w:tcW w:type="dxa" w:w="460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Ciudad Limpia Bogotá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~1,900 empleados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Principal. Ingresos ordinarios complejos.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Ciudad Limpia Neiva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~500 empleados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Particularidades tarifarias propias.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Ciudad Limpia Huila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~37 empleados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Operación pequeña.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CGS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~182 empleados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Residuos peligrosos + aseo en municipios. P×Q.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RH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En proceso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Residuos peligrosos. Ingresando a nómina web.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0619A"/>
          <w:sz w:val="26"/>
        </w:rPr>
        <w:t>4.2 Componentes de Servicio (EBEs/ECOs)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6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Métrica de seguimiento</w:t>
            </w:r>
          </w:p>
        </w:tc>
        <w:tc>
          <w:tcPr>
            <w:tcW w:type="dxa" w:w="360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Recolección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Toneladas recolectadas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CEBE específico en S/4HANA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Barrido de vías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Kilómetros barridos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CEBE específico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Corte de césped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Metros cuadrados cortados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CEBE específico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Poda de árboles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Cantidad de árboles podados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CEBE específico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Aprovechamiento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Toneladas aprovechadas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CGS / RH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Comercialización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Valor facturado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Otros ingresos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color="003369"/>
        </w:pBdr>
      </w:pPr>
      <w:r>
        <w:rPr>
          <w:b/>
          <w:color w:val="003369"/>
          <w:sz w:val="32"/>
        </w:rPr>
        <w:t>5. Diseño y Configuración de Soluciones</w:t>
      </w:r>
    </w:p>
    <w:p>
      <w:pPr>
        <w:spacing w:before="280" w:after="120"/>
      </w:pPr>
      <w:r>
        <w:rPr>
          <w:b/>
          <w:color w:val="00619A"/>
          <w:sz w:val="26"/>
        </w:rPr>
        <w:t>5.1 Diagrama de Arquitectura de Modelos</w:t>
      </w:r>
    </w:p>
    <w:p>
      <w:pPr>
        <w:spacing w:after="120" w:before="0"/>
      </w:pPr>
      <w:r>
        <w:rPr>
          <w:b w:val="0"/>
          <w:i w:val="0"/>
          <w:color w:val="353535"/>
          <w:sz w:val="20"/>
        </w:rPr>
        <w:t>El siguiente diagrama muestra la arquitectura completa de la solución: las fuentes de datos, la capa de dimensiones compartidas, los tres modelos SAC y las salidas de consumo.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460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s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Figura 1 — Arquitectura de Modelos SAP Analytics Cloud | Ciudad Limpia</w:t>
      </w:r>
    </w:p>
    <w:p>
      <w:pPr>
        <w:spacing w:after="120"/>
      </w:pPr>
    </w:p>
    <w:p>
      <w:pPr>
        <w:spacing w:before="280" w:after="120"/>
      </w:pPr>
      <w:r>
        <w:rPr>
          <w:b/>
          <w:color w:val="00619A"/>
          <w:sz w:val="26"/>
        </w:rPr>
        <w:t>5.2 Modelo: Ingresos Ciudad Limpia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07E3E"/>
            <w:tcBorders>
              <w:top w:val="single" w:sz="6" w:color="003369"/>
              <w:bottom w:val="single" w:sz="6" w:color="003369"/>
              <w:left w:val="single" w:sz="6" w:color="003369"/>
              <w:right w:val="single" w:sz="6" w:color="003369"/>
            </w:tcBorders>
          </w:tcPr>
          <w:p>
            <w:r>
              <w:rPr>
                <w:b/>
                <w:color w:val="FFFFFF"/>
                <w:sz w:val="20"/>
              </w:rPr>
              <w:t xml:space="preserve">  Propósito</w:t>
            </w:r>
          </w:p>
        </w:tc>
      </w:tr>
      <w:tr>
        <w:tc>
          <w:tcPr>
            <w:tcW w:type="dxa" w:w="9406"/>
            <w:shd w:val="clear" w:color="auto" w:fill="E8F8ED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/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Captura, planificación y análisis de ingresos operativos de todas las sociedades.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Soporta carga de ingresos ordinarios (valor total) y cálculo P×Q para CGS y RH.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353535"/>
          <w:sz w:val="22"/>
        </w:rPr>
        <w:t>Medidas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Medida</w:t>
            </w:r>
          </w:p>
        </w:tc>
        <w:tc>
          <w:tcPr>
            <w:tcW w:type="dxa" w:w="216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460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Importe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Decimal (Moneda $)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Valor monetario del ingreso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Cantidad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Decimal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Toneladas / kilos (aplica CGS/RH para P×Q)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Tarifa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Decimal (Moneda $)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Precio unitario por tipo de residuo (CGS/RH)</w:t>
            </w:r>
          </w:p>
        </w:tc>
      </w:tr>
    </w:tbl>
    <w:p>
      <w:pPr>
        <w:spacing w:before="280" w:after="120"/>
      </w:pPr>
      <w:r>
        <w:rPr>
          <w:b/>
          <w:color w:val="353535"/>
          <w:sz w:val="22"/>
        </w:rPr>
        <w:t>Dimensiones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72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SAC</w:t>
            </w:r>
          </w:p>
        </w:tc>
        <w:tc>
          <w:tcPr>
            <w:tcW w:type="dxa" w:w="100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Jerarquía</w:t>
            </w:r>
          </w:p>
        </w:tc>
        <w:tc>
          <w:tcPr>
            <w:tcW w:type="dxa" w:w="864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Pública</w:t>
            </w:r>
          </w:p>
        </w:tc>
        <w:tc>
          <w:tcPr>
            <w:tcW w:type="dxa" w:w="388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Version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Version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No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Actual / Presupuesto / Forecast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CUENTA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Account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0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Ingresos por componente. Jerarquía EEFF y gestión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Date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Date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-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No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Granularidad mensual. Ejercicio fiscal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CEBE_CL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Componente de servicio (Recolección, Barrido…)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AUDITORIA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Origen: REAL_S4 / PRESUPUESTO_TARIFAS / PXQ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MONEDA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Moneda de la transacción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CLIENTE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No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Solo CGS/RH — cliente y tipo residuo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SOCIEDAD_CL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Organization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Data Access Control por entidad legal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353535"/>
          <w:sz w:val="22"/>
        </w:rPr>
        <w:t>Lógica de carga por sociedad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Sociedad</w:t>
            </w:r>
          </w:p>
        </w:tc>
        <w:tc>
          <w:tcPr>
            <w:tcW w:type="dxa" w:w="360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8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 de datos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CL Bogotá / Neiva / Huila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Valor total por componente desde Excel del jefe de tarifas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Jefe Nac. Tarifas → Planeación Fin.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CGS / RH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Cálculo P×Q: tarifa × toneladas/kilos por cliente y residuo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Área CGS/RH → Planeación Fin.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0619A"/>
          <w:sz w:val="26"/>
        </w:rPr>
        <w:t>5.3 Modelo: Gastos/Costos Ciudad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6A19"/>
            <w:tcBorders>
              <w:top w:val="single" w:sz="6" w:color="003369"/>
              <w:bottom w:val="single" w:sz="6" w:color="003369"/>
              <w:left w:val="single" w:sz="6" w:color="003369"/>
              <w:right w:val="single" w:sz="6" w:color="003369"/>
            </w:tcBorders>
          </w:tcPr>
          <w:p>
            <w:r>
              <w:rPr>
                <w:b/>
                <w:color w:val="FFFFFF"/>
                <w:sz w:val="20"/>
              </w:rPr>
              <w:t xml:space="preserve">  Propósito</w:t>
            </w:r>
          </w:p>
        </w:tc>
      </w:tr>
      <w:tr>
        <w:tc>
          <w:tcPr>
            <w:tcW w:type="dxa" w:w="9406"/>
            <w:shd w:val="clear" w:color="auto" w:fill="FFF0E0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/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Planificación, control y análisis de costos operativos y gastos de todas las sociedades.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Permite seguimiento por centro de costo, componente de servicio, cuenta y sociedad.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353535"/>
          <w:sz w:val="22"/>
        </w:rPr>
        <w:t>Dimensiones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72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SAC</w:t>
            </w:r>
          </w:p>
        </w:tc>
        <w:tc>
          <w:tcPr>
            <w:tcW w:type="dxa" w:w="100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Jerarquía</w:t>
            </w:r>
          </w:p>
        </w:tc>
        <w:tc>
          <w:tcPr>
            <w:tcW w:type="dxa" w:w="864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Pública</w:t>
            </w:r>
          </w:p>
        </w:tc>
        <w:tc>
          <w:tcPr>
            <w:tcW w:type="dxa" w:w="388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Version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Version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No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Actual / Presupuesto / Forecast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CUENTA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Account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0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Cuentas de costos y gastos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Date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Date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-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No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Mensual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CECO_CL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Centro de costo (área / vehículo de flota)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CEBE_CL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Componente de servicio / línea de negocio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AUDITORIA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Origen: REAL_S4 / PRESUPUESTO_EXCEL / MANUAL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MONEDA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Moneda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SOCIEDAD_CL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Organization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Data Access Control por entidad legal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353535"/>
          <w:sz w:val="22"/>
        </w:rPr>
        <w:t>Categorías de gasto y método de carga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59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59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Método en SAC</w:t>
            </w:r>
          </w:p>
        </w:tc>
        <w:tc>
          <w:tcPr>
            <w:tcW w:type="dxa" w:w="2016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Mano de Obra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~80% del costo total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PARKING LOT — sesión dedicada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1,900+500+37+182 empl.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Mantenimiento Flota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Repuestos, llantas, combustible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Valor por CECO (1 CECO/vehículo)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Area Mantenimiento → Excel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Depreciaciones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Activos fijos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Plantilla genérica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Contabilidad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TIC y tecnología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Equipos, licencias, mant.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Plantilla genérica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Área TIC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Servicios públicos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Agua, energía, telefonía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Plantilla genérica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Servicios Generales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Arrendamientos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Infraestructura y equipos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Plantilla genérica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Contabilidad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Dotación personal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EPP, uniformes, reposiciones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Plantilla genérica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Área centralizada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Seguros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Pólizas corporativas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Plantilla genérica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Administración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Gastos generales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Honorarios, viajes, diversos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Plantilla genérica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Cada gerencia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  <w:tcBorders>
              <w:top w:val="single" w:sz="6" w:color="003369"/>
              <w:bottom w:val="single" w:sz="6" w:color="003369"/>
              <w:left w:val="single" w:sz="6" w:color="003369"/>
              <w:right w:val="single" w:sz="6" w:color="003369"/>
            </w:tcBorders>
          </w:tcPr>
          <w:p>
            <w:r>
              <w:rPr>
                <w:b/>
                <w:color w:val="FFFFFF"/>
                <w:sz w:val="20"/>
              </w:rPr>
              <w:t xml:space="preserve">  Regla de oro acordada en Sesión N°1 (lección aprendida de Fanalca / BPC)</w:t>
            </w:r>
          </w:p>
        </w:tc>
      </w:tr>
      <w:tr>
        <w:tc>
          <w:tcPr>
            <w:tcW w:type="dxa" w:w="9406"/>
            <w:shd w:val="clear" w:color="auto" w:fill="FFFFE8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/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Cada responsable entrega el DATO FINAL AUTORIZADO — no versiones parciales ni acumulaciones.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El sistema usa la opción de carga "Reemplazar": el último dato cargado es el definitivo.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Modificaciones puntuales se hacen directamente en la plantilla SAC, sin recargar el archivo completo.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0619A"/>
          <w:sz w:val="26"/>
        </w:rPr>
        <w:t>5.4 Modelo: EEFF Ciudad Limpia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B1A8B"/>
            <w:tcBorders>
              <w:top w:val="single" w:sz="6" w:color="003369"/>
              <w:bottom w:val="single" w:sz="6" w:color="003369"/>
              <w:left w:val="single" w:sz="6" w:color="003369"/>
              <w:right w:val="single" w:sz="6" w:color="003369"/>
            </w:tcBorders>
          </w:tcPr>
          <w:p>
            <w:r>
              <w:rPr>
                <w:b/>
                <w:color w:val="FFFFFF"/>
                <w:sz w:val="20"/>
              </w:rPr>
              <w:t xml:space="preserve">  Propósito</w:t>
            </w:r>
          </w:p>
        </w:tc>
      </w:tr>
      <w:tr>
        <w:tc>
          <w:tcPr>
            <w:tcW w:type="dxa" w:w="9406"/>
            <w:shd w:val="clear" w:color="auto" w:fill="F3E8F8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/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Consolidar P&amp;G, Balance General y Flujo de Caja. Alimenta reportes internos (gerentes, junta)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y externos (Superintendencia, CRA, Unidad de Servicios Públicos).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353535"/>
          <w:sz w:val="22"/>
        </w:rPr>
        <w:t>Lógica de construcción del EEFF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 EEFF</w:t>
            </w:r>
          </w:p>
        </w:tc>
        <w:tc>
          <w:tcPr>
            <w:tcW w:type="dxa" w:w="619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Lógica de alimentación</w:t>
            </w:r>
          </w:p>
        </w:tc>
      </w:tr>
      <w:tr>
        <w:tc>
          <w:tcPr>
            <w:tcW w:type="dxa" w:w="4703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Estado de Resultados (P&amp;G)</w:t>
            </w:r>
          </w:p>
        </w:tc>
        <w:tc>
          <w:tcPr>
            <w:tcW w:type="dxa" w:w="4703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Fluye automáticamente desde Modelos de Ingresos y Gastos/Costos via lógica de cálculo SAC.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Balance — cuentas de P&amp;G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Las cuentas de resultados impactan automáticamente el balance (ej: utilidad del período).</w:t>
            </w:r>
          </w:p>
        </w:tc>
      </w:tr>
      <w:tr>
        <w:tc>
          <w:tcPr>
            <w:tcW w:type="dxa" w:w="4703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Balance — cuentas propias</w:t>
            </w:r>
          </w:p>
        </w:tc>
        <w:tc>
          <w:tcPr>
            <w:tcW w:type="dxa" w:w="4703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Activos fijos, cartera, deuda, capital: carga manual o integración directa S/4HANA.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Flujo de Caja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Combinación: parte fluye del P&amp;G, parte del balance y parte por carga manual (impuestos, CAPEX, inversiones).</w:t>
            </w:r>
          </w:p>
        </w:tc>
      </w:tr>
      <w:tr>
        <w:tc>
          <w:tcPr>
            <w:tcW w:type="dxa" w:w="4703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Depreciaciones acumuladas</w:t>
            </w:r>
          </w:p>
        </w:tc>
        <w:tc>
          <w:tcPr>
            <w:tcW w:type="dxa" w:w="4703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Fluyen desde el rubro de depreciaciones del modelo de gastos.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CAPEX / Inversiones flota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Carga manual. Proceso muy particular — no fluye directamente del P&amp;G.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0619A"/>
          <w:sz w:val="26"/>
        </w:rPr>
        <w:t>5.5 Dimensiones Compartidas y Maestros de Datos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584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SAC</w:t>
            </w:r>
          </w:p>
        </w:tc>
        <w:tc>
          <w:tcPr>
            <w:tcW w:type="dxa" w:w="864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Pública</w:t>
            </w:r>
          </w:p>
        </w:tc>
        <w:tc>
          <w:tcPr>
            <w:tcW w:type="dxa" w:w="187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Fuente Maestra</w:t>
            </w:r>
          </w:p>
        </w:tc>
        <w:tc>
          <w:tcPr>
            <w:tcW w:type="dxa" w:w="331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CUENTA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Account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S/4HANA SKA1/SKB1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 de cuentas completo. Jerarquías: LR3 (Fanalca) y gestión interna.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CEBE_CL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S/4HANA CEPC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Centros de beneficio / componentes de servicio. Presente en los 3 modelos.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CECO_CL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S/4HANA CSKS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Centros de costo. Incluye un CECO por vehículo de flota. Solo en Gastos.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AUDITORIA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Maestra SAC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Miembros: REAL_S4, PRESUPUESTO_TARIFAS, PRESUPUESTO_EXCEL, PXQ, MANUAL, AJUSTE.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MONEDA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Generic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Maestra SAC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Monedas operativas. Evaluar Currency Translation para consolidados.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SOCIEDAD_CL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Organization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Sí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S/4HANA T001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Habilita Data Access Control. Controla visibilidad por entidad legal.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VERSION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Version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No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SAC (privada)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Versiones: ACTUAL_YYYY / PRESUPUESTO_YYYY / FORECAST_QX_YYYY.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DATE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Date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No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SAC (privada)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Granularidad mensual. Rango: 2 años históricos + año en curso + 1 futuro.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0619A"/>
          <w:sz w:val="26"/>
        </w:rPr>
        <w:t>5.6 Diseño de Integración y Fuentes de Datos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259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Mecanismo</w:t>
            </w:r>
          </w:p>
        </w:tc>
        <w:tc>
          <w:tcPr>
            <w:tcW w:type="dxa" w:w="216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304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Objetos clave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SAP S/4HANA</w:t>
              <w:br/>
              <w:t>(Datos Reales)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CDS Views / Conexión nativa SAC-S4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Diaria — fuera de horario laboral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ACDOCA, SKA1, CEPC, CSKS, T001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Excel / Plantillas</w:t>
              <w:br/>
              <w:t>(Presupuesto)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Carga de archivo en SAC Data Mgmt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Anual + actualizaciones forecast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Plantillas estándar por categoría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Input Manual SAC</w:t>
              <w:br/>
              <w:t>(Ajustes)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Entrada directa en plantilla SAC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Bajo demanda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Solo Planeación Financiera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0619A"/>
          <w:sz w:val="26"/>
        </w:rPr>
        <w:t>5.7 Diseño de Plantillas de Carga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Plantilla</w:t>
            </w:r>
          </w:p>
        </w:tc>
        <w:tc>
          <w:tcPr>
            <w:tcW w:type="dxa" w:w="2304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03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Estructura de columnas</w:t>
            </w:r>
          </w:p>
        </w:tc>
        <w:tc>
          <w:tcPr>
            <w:tcW w:type="dxa" w:w="187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Plantilla 1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Ingresos Ordinarios CL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Sociedad | CEBE (Componente) | Cuenta | Ene-Dic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Jefe de Tarifas → Planeación Fin.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Plantilla 2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Ingresos P×Q — CGS/RH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Sociedad | CEBE | Cliente | Tipo Residuo | Cuenta | Tarifa | Cant. | Ene-Dic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Áreas CGS/RH → Planeación Fin.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Plantilla 3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Gastos y Costos (Genérica)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Sociedad | CECO | CEBE | Cuenta | Ene-Dic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Todas las áreas → Planeación Fin. consolida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0619A"/>
          <w:sz w:val="26"/>
        </w:rPr>
        <w:t>5.8 Consideraciones de Seguridad y Acceso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A00000"/>
            <w:tcBorders>
              <w:top w:val="single" w:sz="6" w:color="003369"/>
              <w:bottom w:val="single" w:sz="6" w:color="003369"/>
              <w:left w:val="single" w:sz="6" w:color="003369"/>
              <w:right w:val="single" w:sz="6" w:color="003369"/>
            </w:tcBorders>
          </w:tcPr>
          <w:p>
            <w:r>
              <w:rPr>
                <w:b/>
                <w:color w:val="FFFFFF"/>
                <w:sz w:val="20"/>
              </w:rPr>
              <w:t xml:space="preserve">  Política de licenciamiento acordada en sesión</w:t>
            </w:r>
          </w:p>
        </w:tc>
      </w:tr>
      <w:tr>
        <w:tc>
          <w:tcPr>
            <w:tcW w:type="dxa" w:w="9406"/>
            <w:shd w:val="clear" w:color="auto" w:fill="FDF0F0"/>
            <w:tcBorders>
              <w:top w:val="single" w:sz="4" w:color="90B8D0"/>
              <w:bottom w:val="single" w:sz="4" w:color="90B8D0"/>
              <w:left w:val="single" w:sz="4" w:color="90B8D0"/>
              <w:right w:val="single" w:sz="4" w:color="90B8D0"/>
            </w:tcBorders>
          </w:tcPr>
          <w:p/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Las licencias SAC se asignan ÚNICAMENTE al equipo de Planeación Financiera.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Las áreas operativas NO tendrán acceso a SAC para carga directa.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Lección aprendida Fanalca/BPC: dar licencias a usuarios que acceden 1 vez/año</w:t>
            </w:r>
          </w:p>
          <w:p>
            <w:pPr>
              <w:spacing w:before="20" w:after="20"/>
            </w:pPr>
            <w:r>
              <w:rPr>
                <w:color w:val="353535"/>
                <w:sz w:val="19"/>
              </w:rPr>
              <w:t xml:space="preserve">  genera más costo de soporte y habilitación que el beneficio obtenido.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16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Nivel de acceso</w:t>
            </w:r>
          </w:p>
        </w:tc>
        <w:tc>
          <w:tcPr>
            <w:tcW w:type="dxa" w:w="460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Administrador SAC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Total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Configura modelos, dimensiones, conexiones, usuarios.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Planeación Financiera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Lectura / Escritura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Versiones plan. Carga de archivos Excel. Ajustes manuales.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Gerente / Ejecutivo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Solo Lectura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Dashboards y reportes. Filtrado por sociedad asignada.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Auditor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Solo Lectura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Acceso histórico a todas las versiones y sociedades.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0619A"/>
          <w:sz w:val="26"/>
        </w:rPr>
        <w:t>5.9 Resumen Comparativo de Modelos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59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Modelo Gastos/Costos</w:t>
            </w:r>
          </w:p>
        </w:tc>
        <w:tc>
          <w:tcPr>
            <w:tcW w:type="dxa" w:w="244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Modelo EEFF</w:t>
            </w:r>
          </w:p>
        </w:tc>
        <w:tc>
          <w:tcPr>
            <w:tcW w:type="dxa" w:w="259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Modelo Ingresos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Importe (Medida)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CUENTA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Date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CEBE_CL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AUDITORIA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MONEDA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SOCIEDAD_CL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CECO_CL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CLIENTE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 (CGS/RH)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Cantidad (P×Q)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—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 (CGS/RH)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Tarifa (P×Q)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✔ (CGS/RH)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0619A"/>
          <w:sz w:val="26"/>
        </w:rPr>
        <w:t>5.10 Parking Lot — Temas Pendientes de Definición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64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88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316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Próximo paso</w:t>
            </w:r>
          </w:p>
        </w:tc>
        <w:tc>
          <w:tcPr>
            <w:tcW w:type="dxa" w:w="100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296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est.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PL-01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Modelo de Gasto de Personal / Nómina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Sesión dedicada de diseño. Consultor presenta modelo referencial.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Alta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Próxima semana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PL-02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Reportes para Entes Externos (Supersociedades, CRA, SUI, Unidad)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Confirmar si está en alcance del proyecto.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Media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Por definir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PL-03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Distribuciones Intercompañía (centros de costo entre sociedades)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Sesión con equipo DataSphere/COPA. Pendiente con Alejandra.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Media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Por definir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PL-04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Reporte Balance por APS (municipio vigilado vs. no vigilado)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Evaluar si CEBE_CL actual permite separación por municipio.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Media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Por definir</w:t>
            </w:r>
          </w:p>
        </w:tc>
      </w:tr>
      <w:tr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PL-05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Cálculo P×Q detallado para CL Bogotá (ordinarios)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Validar con jefe de tarifas si es viable simplificar a P×Q en el futuro.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Baja</w:t>
            </w:r>
          </w:p>
        </w:tc>
        <w:tc>
          <w:tcPr>
            <w:tcW w:type="dxa" w:w="188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Largo plazo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color="003369"/>
        </w:pBdr>
      </w:pPr>
      <w:r>
        <w:rPr>
          <w:b/>
          <w:color w:val="003369"/>
          <w:sz w:val="32"/>
        </w:rPr>
        <w:t>6. Próximos Pasos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480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59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Validar este documento con Laidys y equipo de Planeación Financiera.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Equipo cliente + Consultor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2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Sesión dedicada: diseño Modelo de Gasto de Personal (PL-01).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Consultor + TH Ciudad Limpia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3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Confirmar con Carlos Otálora si ingresos CL pueden simplificarse a P×Q.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Planeación Fin. + Tarifas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4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Diseñar y validar las 3 plantillas Excel estándar.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Consultor + Planeación Fin.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5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Confirmar plan de cuentas completo y jerarquías EEFF (LR3 y gerencial).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Contabilidad + Consultor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6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Confirmar maestros CECO_CL incluyendo codificación de vehículos.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Mantenimiento + TI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7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Confirmar alcance de reportes a entes externos (PL-02).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Gerencia + Equipo proyecto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8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Diseñar conexión SAP S/4HANA y CDS Views disponibles.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Consultor + TI S4</w:t>
            </w:r>
          </w:p>
        </w:tc>
      </w:tr>
      <w:tr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9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Definir usuarios, roles y matriz de accesos por sociedad.</w:t>
            </w:r>
          </w:p>
        </w:tc>
        <w:tc>
          <w:tcPr>
            <w:tcW w:type="dxa" w:w="3135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TI + Planeación Fin.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10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Programar Sesión de Diseño N°2: EEFF y dashboards.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Equipo proyecto</w:t>
            </w:r>
          </w:p>
        </w:tc>
      </w:tr>
    </w:tbl>
    <w:p>
      <w:pPr>
        <w:spacing w:after="120"/>
      </w:pPr>
    </w:p>
    <w:p>
      <w:pPr>
        <w:spacing w:before="280" w:after="120"/>
        <w:pBdr>
          <w:bottom w:val="single" w:sz="6" w:color="003369"/>
        </w:pBdr>
      </w:pPr>
      <w:r>
        <w:rPr>
          <w:b/>
          <w:color w:val="003369"/>
          <w:sz w:val="32"/>
        </w:rPr>
        <w:t>7. Control de Versiones del Documento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728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547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003369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Autor</w:t>
            </w:r>
          </w:p>
        </w:tc>
      </w:tr>
      <w:tr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1.0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Jun-2026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Versión inicial basada en análisis de modelos SAC</w:t>
            </w:r>
          </w:p>
        </w:tc>
        <w:tc>
          <w:tcPr>
            <w:tcW w:type="dxa" w:w="2351"/>
            <w:shd w:val="clear" w:color="auto" w:fill="E8F4FD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Equipo SAC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/>
                <w:color w:val="353535"/>
                <w:sz w:val="19"/>
              </w:rPr>
              <w:t>2.0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Jun-2026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Enriquecida con Sesión Diseño N°1: proceso actual, decisiones, parking lot y próximos pasos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8D8E8"/>
              <w:bottom w:val="single" w:sz="4" w:color="C8D8E8"/>
              <w:left w:val="single" w:sz="4" w:color="C8D8E8"/>
              <w:right w:val="single" w:sz="4" w:color="C8D8E8"/>
            </w:tcBorders>
            <w:vAlign w:val="center"/>
          </w:tcPr>
          <w:p>
            <w:r/>
            <w:r>
              <w:rPr>
                <w:b w:val="0"/>
                <w:color w:val="353535"/>
                <w:sz w:val="19"/>
              </w:rPr>
              <w:t>Equipo SAC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247" w:right="124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Documento de Diseño SAP Analytics Cloud  |  Ciudad Limpia / Grupo Fanalca  |  Versión 2.0  | 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