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071"/>
            <w:shd w:val="clear" w:color="auto" w:fill="003369"/>
          </w:tcPr>
          <w:p/>
          <w:p>
            <w:pPr>
              <w:spacing w:before="360" w:after="0"/>
              <w:jc w:val="center"/>
            </w:pPr>
            <w:r>
              <w:rPr>
                <w:b/>
                <w:i w:val="0"/>
                <w:color w:val="FFFFFF"/>
                <w:sz w:val="12"/>
              </w:rPr>
            </w:r>
          </w:p>
          <w:p>
            <w:pPr>
              <w:spacing w:before="80" w:after="40"/>
              <w:jc w:val="center"/>
            </w:pPr>
            <w:r>
              <w:rPr>
                <w:b/>
                <w:i/>
                <w:color w:val="F0AB00"/>
                <w:sz w:val="26"/>
              </w:rPr>
              <w:t>SAP BUILD</w:t>
            </w:r>
          </w:p>
          <w:p>
            <w:pPr>
              <w:spacing w:before="80" w:after="80"/>
              <w:jc w:val="center"/>
            </w:pPr>
            <w:r>
              <w:rPr>
                <w:b w:val="0"/>
                <w:i w:val="0"/>
                <w:color w:val="CCDDEE"/>
                <w:sz w:val="22"/>
              </w:rPr>
              <w:t>GRUPO FANALCA</w:t>
            </w:r>
          </w:p>
          <w:p>
            <w:pPr>
              <w:spacing w:before="120" w:after="120"/>
              <w:jc w:val="center"/>
            </w:pPr>
            <w:r>
              <w:rPr>
                <w:b/>
                <w:i w:val="0"/>
                <w:color w:val="FFFFFF"/>
                <w:sz w:val="12"/>
              </w:rPr>
            </w:r>
          </w:p>
          <w:p>
            <w:pPr>
              <w:spacing w:before="80" w:after="80"/>
              <w:jc w:val="center"/>
            </w:pPr>
            <w:r>
              <w:rPr>
                <w:b/>
                <w:i w:val="0"/>
                <w:color w:val="FFFFFF"/>
                <w:sz w:val="28"/>
              </w:rPr>
              <w:t>Documento de Diseño</w:t>
            </w:r>
          </w:p>
          <w:p>
            <w:pPr>
              <w:spacing w:before="80" w:after="40"/>
              <w:jc w:val="center"/>
            </w:pPr>
            <w:r>
              <w:rPr>
                <w:b/>
                <w:i w:val="0"/>
                <w:color w:val="FFFFFF"/>
                <w:sz w:val="44"/>
              </w:rPr>
              <w:t>Modelos de Planeación SAC</w:t>
            </w:r>
          </w:p>
          <w:p>
            <w:pPr>
              <w:spacing w:before="40" w:after="80"/>
              <w:jc w:val="center"/>
            </w:pPr>
            <w:r>
              <w:rPr>
                <w:b/>
                <w:i w:val="0"/>
                <w:color w:val="F0AB00"/>
                <w:sz w:val="32"/>
              </w:rPr>
              <w:t>Sociedad Transprensa</w:t>
            </w:r>
          </w:p>
          <w:p>
            <w:pPr>
              <w:spacing w:before="200" w:after="200"/>
              <w:jc w:val="center"/>
            </w:pPr>
            <w:r>
              <w:rPr>
                <w:b/>
                <w:i w:val="0"/>
                <w:color w:val="FFFFFF"/>
                <w:sz w:val="12"/>
              </w:rPr>
            </w:r>
          </w:p>
        </w:tc>
      </w:tr>
    </w:tbl>
    <w:tbl>
      <w:tblPr>
        <w:tblW w:type="auto" w:w="0"/>
        <w:jc w:val="center"/>
        <w:tblLook w:firstColumn="1" w:firstRow="1" w:lastColumn="0" w:lastRow="0" w:noHBand="0" w:noVBand="1" w:val="04A0"/>
      </w:tblPr>
      <w:tblGrid>
        <w:gridCol w:w="4703"/>
        <w:gridCol w:w="4703"/>
      </w:tblGrid>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Sociedad</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Transprensa S.A.S.</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Proyecto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SAP BUILD – Implementación SAP S/4HANA + SAC</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Versión</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v1.0</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Fecha</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04 de junio de 2026</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Estado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Borrador para revisión</w:t>
            </w:r>
          </w:p>
        </w:tc>
      </w:tr>
    </w:tbl>
    <w:p>
      <w:pPr>
        <w:spacing w:after="80"/>
      </w:pPr>
    </w:p>
    <w:p>
      <w:r>
        <w:br w:type="page"/>
      </w:r>
    </w:p>
    <w:p>
      <w:pPr>
        <w:spacing w:before="120" w:after="120"/>
        <w:pBdr>
          <w:bottom w:val="single" w:sz="6" w:color="003369"/>
        </w:pBdr>
      </w:pPr>
      <w:r>
        <w:rPr>
          <w:b/>
          <w:color w:val="003369"/>
          <w:sz w:val="32"/>
        </w:rPr>
        <w:t>Tabla de Contenido</w:t>
      </w:r>
    </w:p>
    <w:tbl>
      <w:tblPr>
        <w:tblW w:type="auto" w:w="0"/>
        <w:tblLook w:firstColumn="1" w:firstRow="1" w:lastColumn="0" w:lastRow="0" w:noHBand="0" w:noVBand="1" w:val="04A0"/>
      </w:tblPr>
      <w:tblGrid>
        <w:gridCol w:w="3135"/>
        <w:gridCol w:w="3135"/>
        <w:gridCol w:w="3135"/>
      </w:tblGrid>
      <w:tr>
        <w:tc>
          <w:tcPr>
            <w:tcW w:type="dxa" w:w="3135"/>
            <w:shd w:val="clear" w:color="auto" w:fill="E8F4FD"/>
          </w:tcPr>
          <w:p>
            <w:r>
              <w:rPr>
                <w:sz w:val="18"/>
              </w:rPr>
              <w:t>1.</w:t>
            </w:r>
          </w:p>
        </w:tc>
        <w:tc>
          <w:tcPr>
            <w:tcW w:type="dxa" w:w="3135"/>
            <w:shd w:val="clear" w:color="auto" w:fill="E8F4FD"/>
          </w:tcPr>
          <w:p>
            <w:pPr>
              <w:ind w:left="283"/>
            </w:pPr>
            <w:r>
              <w:rPr>
                <w:b w:val="0"/>
                <w:sz w:val="18"/>
              </w:rPr>
              <w:t>Propósito del documento</w:t>
            </w:r>
          </w:p>
        </w:tc>
        <w:tc>
          <w:tcPr>
            <w:tcW w:type="dxa" w:w="3135"/>
            <w:shd w:val="clear" w:color="auto" w:fill="E8F4FD"/>
          </w:tcPr>
          <w:p>
            <w:pPr>
              <w:jc w:val="right"/>
            </w:pPr>
            <w:r>
              <w:rPr>
                <w:sz w:val="18"/>
              </w:rPr>
              <w:t>4</w:t>
            </w:r>
          </w:p>
        </w:tc>
      </w:tr>
      <w:tr>
        <w:tc>
          <w:tcPr>
            <w:tcW w:type="dxa" w:w="3135"/>
            <w:shd w:val="clear" w:color="auto" w:fill="FFFFFF"/>
          </w:tcPr>
          <w:p>
            <w:r>
              <w:rPr>
                <w:sz w:val="18"/>
              </w:rPr>
              <w:t>2.</w:t>
            </w:r>
          </w:p>
        </w:tc>
        <w:tc>
          <w:tcPr>
            <w:tcW w:type="dxa" w:w="3135"/>
            <w:shd w:val="clear" w:color="auto" w:fill="FFFFFF"/>
          </w:tcPr>
          <w:p>
            <w:pPr>
              <w:ind w:left="283"/>
            </w:pPr>
            <w:r>
              <w:rPr>
                <w:b w:val="0"/>
                <w:sz w:val="18"/>
              </w:rPr>
              <w:t>Cómo usar el documento</w:t>
            </w:r>
          </w:p>
        </w:tc>
        <w:tc>
          <w:tcPr>
            <w:tcW w:type="dxa" w:w="3135"/>
            <w:shd w:val="clear" w:color="auto" w:fill="FFFFFF"/>
          </w:tcPr>
          <w:p>
            <w:pPr>
              <w:jc w:val="right"/>
            </w:pPr>
            <w:r>
              <w:rPr>
                <w:sz w:val="18"/>
              </w:rPr>
              <w:t>4</w:t>
            </w:r>
          </w:p>
        </w:tc>
      </w:tr>
      <w:tr>
        <w:tc>
          <w:tcPr>
            <w:tcW w:type="dxa" w:w="3135"/>
            <w:shd w:val="clear" w:color="auto" w:fill="E8F4FD"/>
          </w:tcPr>
          <w:p>
            <w:r>
              <w:rPr>
                <w:sz w:val="18"/>
              </w:rPr>
              <w:t>3.</w:t>
            </w:r>
          </w:p>
        </w:tc>
        <w:tc>
          <w:tcPr>
            <w:tcW w:type="dxa" w:w="3135"/>
            <w:shd w:val="clear" w:color="auto" w:fill="E8F4FD"/>
          </w:tcPr>
          <w:p>
            <w:pPr>
              <w:ind w:left="283"/>
            </w:pPr>
            <w:r>
              <w:rPr>
                <w:b w:val="0"/>
                <w:sz w:val="18"/>
              </w:rPr>
              <w:t>Escenario / Proceso de negocio</w:t>
            </w:r>
          </w:p>
        </w:tc>
        <w:tc>
          <w:tcPr>
            <w:tcW w:type="dxa" w:w="3135"/>
            <w:shd w:val="clear" w:color="auto" w:fill="E8F4FD"/>
          </w:tcPr>
          <w:p>
            <w:pPr>
              <w:jc w:val="right"/>
            </w:pPr>
            <w:r>
              <w:rPr>
                <w:sz w:val="18"/>
              </w:rPr>
              <w:t>4</w:t>
            </w:r>
          </w:p>
        </w:tc>
      </w:tr>
      <w:tr>
        <w:tc>
          <w:tcPr>
            <w:tcW w:type="dxa" w:w="3135"/>
            <w:shd w:val="clear" w:color="auto" w:fill="FFFFFF"/>
          </w:tcPr>
          <w:p>
            <w:r>
              <w:rPr>
                <w:sz w:val="18"/>
              </w:rPr>
              <w:t>3.1.</w:t>
            </w:r>
          </w:p>
        </w:tc>
        <w:tc>
          <w:tcPr>
            <w:tcW w:type="dxa" w:w="3135"/>
            <w:shd w:val="clear" w:color="auto" w:fill="FFFFFF"/>
          </w:tcPr>
          <w:p>
            <w:pPr>
              <w:ind w:left="283"/>
            </w:pPr>
            <w:r>
              <w:rPr>
                <w:b w:val="0"/>
                <w:sz w:val="18"/>
              </w:rPr>
              <w:t>Objetivos empresariales y beneficios esperados</w:t>
            </w:r>
          </w:p>
        </w:tc>
        <w:tc>
          <w:tcPr>
            <w:tcW w:type="dxa" w:w="3135"/>
            <w:shd w:val="clear" w:color="auto" w:fill="FFFFFF"/>
          </w:tcPr>
          <w:p>
            <w:pPr>
              <w:jc w:val="right"/>
            </w:pPr>
            <w:r>
              <w:rPr>
                <w:sz w:val="18"/>
              </w:rPr>
              <w:t>5</w:t>
            </w:r>
          </w:p>
        </w:tc>
      </w:tr>
      <w:tr>
        <w:tc>
          <w:tcPr>
            <w:tcW w:type="dxa" w:w="3135"/>
            <w:shd w:val="clear" w:color="auto" w:fill="E8F4FD"/>
          </w:tcPr>
          <w:p>
            <w:r>
              <w:rPr>
                <w:sz w:val="18"/>
              </w:rPr>
              <w:t>3.2.</w:t>
            </w:r>
          </w:p>
        </w:tc>
        <w:tc>
          <w:tcPr>
            <w:tcW w:type="dxa" w:w="3135"/>
            <w:shd w:val="clear" w:color="auto" w:fill="E8F4FD"/>
          </w:tcPr>
          <w:p>
            <w:pPr>
              <w:ind w:left="283"/>
            </w:pPr>
            <w:r>
              <w:rPr>
                <w:b w:val="0"/>
                <w:sz w:val="18"/>
              </w:rPr>
              <w:t>Descripción a alto nivel de Requisitos empresariales</w:t>
            </w:r>
          </w:p>
        </w:tc>
        <w:tc>
          <w:tcPr>
            <w:tcW w:type="dxa" w:w="3135"/>
            <w:shd w:val="clear" w:color="auto" w:fill="E8F4FD"/>
          </w:tcPr>
          <w:p>
            <w:pPr>
              <w:jc w:val="right"/>
            </w:pPr>
            <w:r>
              <w:rPr>
                <w:sz w:val="18"/>
              </w:rPr>
              <w:t>5</w:t>
            </w:r>
          </w:p>
        </w:tc>
      </w:tr>
      <w:tr>
        <w:tc>
          <w:tcPr>
            <w:tcW w:type="dxa" w:w="3135"/>
            <w:shd w:val="clear" w:color="auto" w:fill="FFFFFF"/>
          </w:tcPr>
          <w:p>
            <w:r>
              <w:rPr>
                <w:sz w:val="18"/>
              </w:rPr>
              <w:t>4.</w:t>
            </w:r>
          </w:p>
        </w:tc>
        <w:tc>
          <w:tcPr>
            <w:tcW w:type="dxa" w:w="3135"/>
            <w:shd w:val="clear" w:color="auto" w:fill="FFFFFF"/>
          </w:tcPr>
          <w:p>
            <w:pPr>
              <w:ind w:left="283"/>
            </w:pPr>
            <w:r>
              <w:rPr>
                <w:b w:val="0"/>
                <w:sz w:val="18"/>
              </w:rPr>
              <w:t>Estructura organizativa relevante</w:t>
            </w:r>
          </w:p>
        </w:tc>
        <w:tc>
          <w:tcPr>
            <w:tcW w:type="dxa" w:w="3135"/>
            <w:shd w:val="clear" w:color="auto" w:fill="FFFFFF"/>
          </w:tcPr>
          <w:p>
            <w:pPr>
              <w:jc w:val="right"/>
            </w:pPr>
            <w:r>
              <w:rPr>
                <w:sz w:val="18"/>
              </w:rPr>
              <w:t>6</w:t>
            </w:r>
          </w:p>
        </w:tc>
      </w:tr>
      <w:tr>
        <w:tc>
          <w:tcPr>
            <w:tcW w:type="dxa" w:w="3135"/>
            <w:shd w:val="clear" w:color="auto" w:fill="E8F4FD"/>
          </w:tcPr>
          <w:p>
            <w:r>
              <w:rPr>
                <w:sz w:val="18"/>
              </w:rPr>
              <w:t>5.</w:t>
            </w:r>
          </w:p>
        </w:tc>
        <w:tc>
          <w:tcPr>
            <w:tcW w:type="dxa" w:w="3135"/>
            <w:shd w:val="clear" w:color="auto" w:fill="E8F4FD"/>
          </w:tcPr>
          <w:p>
            <w:pPr>
              <w:ind w:left="283"/>
            </w:pPr>
            <w:r>
              <w:rPr>
                <w:b w:val="0"/>
                <w:sz w:val="18"/>
              </w:rPr>
              <w:t>Diseño y configuración de soluciones</w:t>
            </w:r>
          </w:p>
        </w:tc>
        <w:tc>
          <w:tcPr>
            <w:tcW w:type="dxa" w:w="3135"/>
            <w:shd w:val="clear" w:color="auto" w:fill="E8F4FD"/>
          </w:tcPr>
          <w:p>
            <w:pPr>
              <w:jc w:val="right"/>
            </w:pPr>
            <w:r>
              <w:rPr>
                <w:sz w:val="18"/>
              </w:rPr>
              <w:t>7</w:t>
            </w:r>
          </w:p>
        </w:tc>
      </w:tr>
      <w:tr>
        <w:tc>
          <w:tcPr>
            <w:tcW w:type="dxa" w:w="3135"/>
            <w:shd w:val="clear" w:color="auto" w:fill="FFFFFF"/>
          </w:tcPr>
          <w:p>
            <w:r>
              <w:rPr>
                <w:sz w:val="18"/>
              </w:rPr>
              <w:t>5.1.</w:t>
            </w:r>
          </w:p>
        </w:tc>
        <w:tc>
          <w:tcPr>
            <w:tcW w:type="dxa" w:w="3135"/>
            <w:shd w:val="clear" w:color="auto" w:fill="FFFFFF"/>
          </w:tcPr>
          <w:p>
            <w:pPr>
              <w:ind w:left="283"/>
            </w:pPr>
            <w:r>
              <w:rPr>
                <w:b w:val="0"/>
                <w:sz w:val="18"/>
              </w:rPr>
              <w:t>Alcance del proceso de solución</w:t>
            </w:r>
          </w:p>
        </w:tc>
        <w:tc>
          <w:tcPr>
            <w:tcW w:type="dxa" w:w="3135"/>
            <w:shd w:val="clear" w:color="auto" w:fill="FFFFFF"/>
          </w:tcPr>
          <w:p>
            <w:pPr>
              <w:jc w:val="right"/>
            </w:pPr>
            <w:r>
              <w:rPr>
                <w:sz w:val="18"/>
              </w:rPr>
              <w:t>7</w:t>
            </w:r>
          </w:p>
        </w:tc>
      </w:tr>
      <w:tr>
        <w:tc>
          <w:tcPr>
            <w:tcW w:type="dxa" w:w="3135"/>
            <w:shd w:val="clear" w:color="auto" w:fill="E8F4FD"/>
          </w:tcPr>
          <w:p>
            <w:r>
              <w:rPr>
                <w:sz w:val="18"/>
              </w:rPr>
              <w:t>5.2.</w:t>
            </w:r>
          </w:p>
        </w:tc>
        <w:tc>
          <w:tcPr>
            <w:tcW w:type="dxa" w:w="3135"/>
            <w:shd w:val="clear" w:color="auto" w:fill="E8F4FD"/>
          </w:tcPr>
          <w:p>
            <w:pPr>
              <w:ind w:left="283"/>
            </w:pPr>
            <w:r>
              <w:rPr>
                <w:b w:val="0"/>
                <w:sz w:val="18"/>
              </w:rPr>
              <w:t>Valor de Actividad de Configuración</w:t>
            </w:r>
          </w:p>
        </w:tc>
        <w:tc>
          <w:tcPr>
            <w:tcW w:type="dxa" w:w="3135"/>
            <w:shd w:val="clear" w:color="auto" w:fill="E8F4FD"/>
          </w:tcPr>
          <w:p>
            <w:pPr>
              <w:jc w:val="right"/>
            </w:pPr>
            <w:r>
              <w:rPr>
                <w:sz w:val="18"/>
              </w:rPr>
              <w:t>9</w:t>
            </w:r>
          </w:p>
        </w:tc>
      </w:tr>
      <w:tr>
        <w:tc>
          <w:tcPr>
            <w:tcW w:type="dxa" w:w="3135"/>
            <w:shd w:val="clear" w:color="auto" w:fill="FFFFFF"/>
          </w:tcPr>
          <w:p>
            <w:r>
              <w:rPr>
                <w:sz w:val="18"/>
              </w:rPr>
              <w:t>5.3.</w:t>
            </w:r>
          </w:p>
        </w:tc>
        <w:tc>
          <w:tcPr>
            <w:tcW w:type="dxa" w:w="3135"/>
            <w:shd w:val="clear" w:color="auto" w:fill="FFFFFF"/>
          </w:tcPr>
          <w:p>
            <w:pPr>
              <w:ind w:left="283"/>
            </w:pPr>
            <w:r>
              <w:rPr>
                <w:b w:val="0"/>
                <w:sz w:val="18"/>
              </w:rPr>
              <w:t>Roles</w:t>
            </w:r>
          </w:p>
        </w:tc>
        <w:tc>
          <w:tcPr>
            <w:tcW w:type="dxa" w:w="3135"/>
            <w:shd w:val="clear" w:color="auto" w:fill="FFFFFF"/>
          </w:tcPr>
          <w:p>
            <w:pPr>
              <w:jc w:val="right"/>
            </w:pPr>
            <w:r>
              <w:rPr>
                <w:sz w:val="18"/>
              </w:rPr>
              <w:t>10</w:t>
            </w:r>
          </w:p>
        </w:tc>
      </w:tr>
      <w:tr>
        <w:tc>
          <w:tcPr>
            <w:tcW w:type="dxa" w:w="3135"/>
            <w:shd w:val="clear" w:color="auto" w:fill="E8F4FD"/>
          </w:tcPr>
          <w:p>
            <w:r>
              <w:rPr>
                <w:sz w:val="18"/>
              </w:rPr>
              <w:t>5.4.</w:t>
            </w:r>
          </w:p>
        </w:tc>
        <w:tc>
          <w:tcPr>
            <w:tcW w:type="dxa" w:w="3135"/>
            <w:shd w:val="clear" w:color="auto" w:fill="E8F4FD"/>
          </w:tcPr>
          <w:p>
            <w:pPr>
              <w:ind w:left="283"/>
            </w:pPr>
            <w:r>
              <w:rPr>
                <w:b w:val="0"/>
                <w:sz w:val="18"/>
              </w:rPr>
              <w:t>Inventario de datos maestros susceptibles de migración</w:t>
            </w:r>
          </w:p>
        </w:tc>
        <w:tc>
          <w:tcPr>
            <w:tcW w:type="dxa" w:w="3135"/>
            <w:shd w:val="clear" w:color="auto" w:fill="E8F4FD"/>
          </w:tcPr>
          <w:p>
            <w:pPr>
              <w:jc w:val="right"/>
            </w:pPr>
            <w:r>
              <w:rPr>
                <w:sz w:val="18"/>
              </w:rPr>
              <w:t>10</w:t>
            </w:r>
          </w:p>
        </w:tc>
      </w:tr>
      <w:tr>
        <w:tc>
          <w:tcPr>
            <w:tcW w:type="dxa" w:w="3135"/>
            <w:shd w:val="clear" w:color="auto" w:fill="FFFFFF"/>
          </w:tcPr>
          <w:p>
            <w:r>
              <w:rPr>
                <w:sz w:val="18"/>
              </w:rPr>
              <w:t>5.5.</w:t>
            </w:r>
          </w:p>
        </w:tc>
        <w:tc>
          <w:tcPr>
            <w:tcW w:type="dxa" w:w="3135"/>
            <w:shd w:val="clear" w:color="auto" w:fill="FFFFFF"/>
          </w:tcPr>
          <w:p>
            <w:pPr>
              <w:ind w:left="283"/>
            </w:pPr>
            <w:r>
              <w:rPr>
                <w:b w:val="0"/>
                <w:sz w:val="18"/>
              </w:rPr>
              <w:t>Componente de Solución Técnica Relacionada</w:t>
            </w:r>
          </w:p>
        </w:tc>
        <w:tc>
          <w:tcPr>
            <w:tcW w:type="dxa" w:w="3135"/>
            <w:shd w:val="clear" w:color="auto" w:fill="FFFFFF"/>
          </w:tcPr>
          <w:p>
            <w:pPr>
              <w:jc w:val="right"/>
            </w:pPr>
            <w:r>
              <w:rPr>
                <w:sz w:val="18"/>
              </w:rPr>
              <w:t>11</w:t>
            </w:r>
          </w:p>
        </w:tc>
      </w:tr>
    </w:tbl>
    <w:p>
      <w:r>
        <w:br w:type="page"/>
      </w:r>
    </w:p>
    <w:p>
      <w:pPr>
        <w:spacing w:before="280" w:after="120"/>
        <w:pBdr>
          <w:bottom w:val="single" w:sz="6" w:color="003369"/>
        </w:pBdr>
      </w:pPr>
      <w:r>
        <w:rPr>
          <w:b/>
          <w:color w:val="003369"/>
          <w:sz w:val="32"/>
        </w:rPr>
        <w:t>1. Propósito del documento</w:t>
      </w:r>
    </w:p>
    <w:p>
      <w:pPr>
        <w:spacing w:before="40" w:after="80"/>
      </w:pPr>
      <w:r>
        <w:rPr>
          <w:i w:val="0"/>
          <w:sz w:val="20"/>
        </w:rPr>
        <w:t>El presente documento describe el diseño de los modelos de planeación financiera implementados en SAP Analytics Cloud (SAC) para la Sociedad Transprensa S.A.S., en el marco del proyecto SAP BUILD de Grupo Fanalca. Su objetivo es formalizar la arquitectura de los modelos de Ingresos, Gastos y Costos, y Estados Financieros, documentar las reglas de negocio, las fuentes de datos, los datos maestros y la configuración técnica requerida para soportar el proceso de presupuestación y seguimiento de ejecución presupuestal de Transprensa.</w:t>
      </w:r>
    </w:p>
    <w:p>
      <w:pPr>
        <w:spacing w:before="40" w:after="80"/>
      </w:pPr>
      <w:r>
        <w:rPr>
          <w:i w:val="0"/>
          <w:sz w:val="20"/>
        </w:rPr>
        <w:t>Transprensa es una empresa de logística y transporte del Grupo Fanalca con operaciones en 21 regionales a lo largo de Colombia, 46 Centros de Recibo de Mercancía (CRM) y servicios de paqueteo, masivo, vehículos dedicados, almacenamiento e ingredientes. El proceso de presupuestación es centralizado desde el área financiera, con insumos provenientes de la gerencia general y la gerencia comercial.</w:t>
      </w: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Alcance del documento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Diseño de los 3 modelos SAC: Ingresos, Gastos y Costos, EEFF</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Definición de dimensiones, medidas y capacidades de planeación</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Reglas de negocio: cálculo P×Q, estacionalidad, versiones presupuestales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Integración con SAP S/4HANA, Silotrans y DataSphere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Inventario de datos maestros para migración</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  Fuera de alcance: modelos de Talento Humano y Flujo de Caja Diario (en diseño)</w:t>
            </w:r>
          </w:p>
        </w:tc>
      </w:tr>
    </w:tbl>
    <w:p>
      <w:pPr>
        <w:spacing w:after="120"/>
      </w:pPr>
    </w:p>
    <w:p>
      <w:pPr>
        <w:spacing w:before="280" w:after="120"/>
        <w:pBdr>
          <w:bottom w:val="single" w:sz="6" w:color="003369"/>
        </w:pBdr>
      </w:pPr>
      <w:r>
        <w:rPr>
          <w:b/>
          <w:color w:val="003369"/>
          <w:sz w:val="32"/>
        </w:rPr>
        <w:t>2. Cómo usar el documento</w:t>
      </w:r>
    </w:p>
    <w:p>
      <w:pPr>
        <w:spacing w:before="40" w:after="80"/>
      </w:pPr>
      <w:r>
        <w:rPr>
          <w:i w:val="0"/>
          <w:sz w:val="20"/>
        </w:rPr>
        <w:t>Este documento está estructurado para ser consultado en secuencia. Se recomienda iniciar por la sección 3 para comprender el contexto de negocio de Transprensa, continuar con la sección 4 para entender la estructura organizativa, y revisar la sección 5 para el detalle técnico de configuración en SAC.</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Sección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Contenido</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Audiencia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 – 2</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Propósito y uso del documento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Todos los interesados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3</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Escenario de negocio y objetivos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Gerencia, Sponsors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4</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Estructura organizativa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Equipo funcional SAP</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5.1</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Alcance y modelos SAC</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Consultores SAC / SAP</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5.2 – 5.5</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Configuración, roles y datos maestros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Consultores técnicos</w:t>
            </w:r>
          </w:p>
        </w:tc>
      </w:tr>
    </w:tbl>
    <w:p>
      <w:pPr>
        <w:spacing w:after="80"/>
      </w:pPr>
    </w:p>
    <w:p>
      <w:pPr>
        <w:spacing w:before="280" w:after="120"/>
        <w:pBdr>
          <w:bottom w:val="single" w:sz="6" w:color="003369"/>
        </w:pBdr>
      </w:pPr>
      <w:r>
        <w:rPr>
          <w:b/>
          <w:color w:val="003369"/>
          <w:sz w:val="32"/>
        </w:rPr>
        <w:t>3. Escenario / Proceso de negocio</w:t>
      </w:r>
    </w:p>
    <w:p>
      <w:pPr>
        <w:spacing w:before="40" w:after="80"/>
      </w:pPr>
      <w:r>
        <w:rPr>
          <w:i w:val="0"/>
          <w:sz w:val="20"/>
        </w:rPr>
        <w:t>Transprensa S.A.S. es una empresa logística del Grupo Fanalca dedicada al transporte de carga en Colombia. Sus líneas de negocio principales son el paqueteo (B2B y B2C), el servicio masivo, vehículos dedicados, almacenamiento e ingredientes/mercancías peligrosas. La empresa cuenta con 21 regionales en el país y 46 CRM (Centros de Recibo de Mercancía) propios y externos. Su proceso de presupuestación se realiza centralizadamente desde el área financiera usando Excel y Power BI, con datos provenientes del software logístico Silotrans y del sistema contable SIESA. El proyecto SAP BUILD migra la planificación financiera a SAP Analytics Cloud.</w:t>
      </w:r>
    </w:p>
    <w:p>
      <w:pPr>
        <w:spacing w:before="200" w:after="120"/>
      </w:pPr>
      <w:r>
        <w:rPr>
          <w:b/>
          <w:color w:val="00619A"/>
          <w:sz w:val="26"/>
        </w:rPr>
        <w:t>Arquitectura de Modelos — Transprensa</w:t>
      </w:r>
    </w:p>
    <w:p>
      <w:pPr>
        <w:jc w:val="center"/>
      </w:pPr>
      <w:r>
        <w:drawing>
          <wp:inline xmlns:a="http://schemas.openxmlformats.org/drawingml/2006/main" xmlns:pic="http://schemas.openxmlformats.org/drawingml/2006/picture">
            <wp:extent cx="5669280" cy="4026423"/>
            <wp:docPr id="1" name="Picture 1"/>
            <wp:cNvGraphicFramePr>
              <a:graphicFrameLocks noChangeAspect="1"/>
            </wp:cNvGraphicFramePr>
            <a:graphic>
              <a:graphicData uri="http://schemas.openxmlformats.org/drawingml/2006/picture">
                <pic:pic>
                  <pic:nvPicPr>
                    <pic:cNvPr id="0" name="arquitectura_transprensa.png"/>
                    <pic:cNvPicPr/>
                  </pic:nvPicPr>
                  <pic:blipFill>
                    <a:blip r:embed="rId10"/>
                    <a:stretch>
                      <a:fillRect/>
                    </a:stretch>
                  </pic:blipFill>
                  <pic:spPr>
                    <a:xfrm>
                      <a:off x="0" y="0"/>
                      <a:ext cx="5669280" cy="4026423"/>
                    </a:xfrm>
                    <a:prstGeom prst="rect"/>
                  </pic:spPr>
                </pic:pic>
              </a:graphicData>
            </a:graphic>
          </wp:inline>
        </w:drawing>
      </w:r>
    </w:p>
    <w:p>
      <w:pPr>
        <w:jc w:val="center"/>
      </w:pPr>
      <w:r>
        <w:rPr>
          <w:i/>
          <w:color w:val="757575"/>
          <w:sz w:val="16"/>
        </w:rPr>
        <w:t>Figura 1. Arquitectura de modelos SAC Planning — Sociedad Transprensa</w:t>
      </w:r>
    </w:p>
    <w:p>
      <w:pPr>
        <w:spacing w:after="120"/>
      </w:pPr>
    </w:p>
    <w:p>
      <w:pPr>
        <w:spacing w:before="280" w:after="120"/>
      </w:pPr>
      <w:r>
        <w:rPr>
          <w:b/>
          <w:color w:val="00619A"/>
          <w:sz w:val="26"/>
        </w:rPr>
        <w:t>3.1. Objetivos empresariales y beneficios esperados</w:t>
      </w:r>
    </w:p>
    <w:p>
      <w:pPr>
        <w:spacing w:before="40" w:after="80"/>
      </w:pPr>
      <w:r>
        <w:rPr>
          <w:i w:val="0"/>
          <w:sz w:val="20"/>
        </w:rPr>
        <w:t>La implementación de SAC Planning en Transprensa busca reemplazar el proceso manual de presupuestación en Excel y consolidar la planeación financiera en una plataforma corporativa integrada con SAP S/4HANA y Silotrans. Los objetivos estratégicos son:</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Objetivo Empresarial</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Beneficio Esperado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Centralizar la planeación financiera en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Eliminar silos de información en Excel; control de versiones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2</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Automatizar el cálculo P×Q por regional y servicio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Reducción de errores; mayor velocidad en ciclos de presupuesto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3</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Habilitar multi-versionamiento presupuestal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Versión comercial vs. financiera; escenarios y simulaciones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4</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Integrar ejecución real desde Silotrans y S/4HANA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Comparación presupuesto vs. real en tiempo real</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5</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Visibilidad de P&amp;G y EBITDA por regional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Toma de decisiones a nivel de regional y centro de beneficio</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6</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Estacionalidad y ajuste dinámico de mano de obra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Optimización de costos de personal temporal ligado a kg</w:t>
            </w:r>
          </w:p>
        </w:tc>
      </w:tr>
    </w:tbl>
    <w:p>
      <w:pPr>
        <w:spacing w:after="80"/>
      </w:pPr>
    </w:p>
    <w:p>
      <w:pPr>
        <w:spacing w:before="280" w:after="120"/>
      </w:pPr>
      <w:r>
        <w:rPr>
          <w:b/>
          <w:color w:val="00619A"/>
          <w:sz w:val="26"/>
        </w:rPr>
        <w:t>3.2. Descripción a alto nivel de Requisitos empresariales</w:t>
      </w:r>
    </w:p>
    <w:p>
      <w:pPr>
        <w:spacing w:before="40" w:after="80"/>
      </w:pPr>
      <w:r>
        <w:rPr>
          <w:i w:val="0"/>
          <w:sz w:val="20"/>
        </w:rPr>
        <w:t>Con base en la sesión de diseño realizada el 22 de mayo de 2026, se identificaron los siguientes requisitos de negocio para el proceso de presupuestación de Transprensa:</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ID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Área</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Requisito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Modelo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Presupuestar ingresos por regional y tipo de servicio (paqueteo, masivo, almacenamiento)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REQ-02</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Cálculo P×Q: Kilogramos proyectados × Tarifa (pesos/kg) por regional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REQ-03</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Discriminación de ingresos por tipo: Crédito (B2B) vs. Contado/contraentrega (CRM)</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REQ-04</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Presupuestar clientes especiales por separado (Ingreso, T1, Soy Más)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REQ-05</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Definir estacionalidad mensual con base en histórico N-1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REQ-06</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Soporte de multi-versión: Presupuesto Comercial y Presupuesto Financiero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REQ-07</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Presupuesto de fletes de transporte por regional y destino (desde Silotrans)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Gastos y Costos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REQ-08</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Personal temporal variable ligado a kg: índice de personal por kg movilizado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Gastos y Costos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REQ-09</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Arrendamientos por contrato: IPC + factor, ponderado por tipo de servicio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Gastos y Costos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REQ-10</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Gastos fijos (histórico N-1 + IPC): honorarios, servicios públicos, ICA por ciudad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Gastos y Costos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REQ-11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Estado de Resultados (P&amp;G administrativo – PCGA) con apertura por regional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EEFF</w:t>
            </w:r>
          </w:p>
        </w:tc>
      </w:tr>
    </w:tbl>
    <w:p>
      <w:pPr>
        <w:spacing w:after="80"/>
      </w:pPr>
    </w:p>
    <w:p>
      <w:pPr>
        <w:spacing w:before="160" w:after="120"/>
      </w:pPr>
      <w:r>
        <w:rPr>
          <w:b/>
          <w:color w:val="00619A"/>
          <w:sz w:val="22"/>
        </w:rPr>
        <w:t>Metodología de Cálculo de Ingresos (P × Q)</w:t>
      </w:r>
    </w:p>
    <w:p>
      <w:pPr>
        <w:spacing w:before="40" w:after="80"/>
      </w:pPr>
      <w:r>
        <w:rPr>
          <w:i w:val="0"/>
          <w:sz w:val="20"/>
        </w:rPr>
        <w:t>El proceso de presupuestación de ingresos de Transprensa sigue la metodología P×Q (Precio × Cantidad), donde el precio corresponde a la tarifa por kilogramo y la cantidad a los kilogramos movilizados por regional y tipo de servicio. El flujo de cálculo es el siguiente:</w:t>
      </w:r>
    </w:p>
    <w:p>
      <w:pPr>
        <w:pStyle w:val="ListBullet"/>
        <w:spacing w:before="20" w:after="20"/>
        <w:ind w:left="283"/>
      </w:pPr>
      <w:r>
        <w:rPr>
          <w:sz w:val="20"/>
        </w:rPr>
        <w:t>Base histórica (N-1): Ejecución real 2025 de kg y pesos por regional desde Silotrans</w:t>
      </w:r>
    </w:p>
    <w:p>
      <w:pPr>
        <w:pStyle w:val="ListBullet"/>
        <w:spacing w:before="20" w:after="20"/>
        <w:ind w:left="283"/>
      </w:pPr>
      <w:r>
        <w:rPr>
          <w:sz w:val="20"/>
        </w:rPr>
        <w:t>Crecimiento en volumen: % de crecimiento en kg definido por gerencia por regional (ej: +21% global)</w:t>
      </w:r>
    </w:p>
    <w:p>
      <w:pPr>
        <w:pStyle w:val="ListBullet"/>
        <w:spacing w:before="20" w:after="20"/>
        <w:ind w:left="283"/>
      </w:pPr>
      <w:r>
        <w:rPr>
          <w:sz w:val="20"/>
        </w:rPr>
        <w:t>Crecimiento en tarifa: Índice de incremento tarifario (ej: +15%), basado en IPC + análisis de mercado</w:t>
      </w:r>
    </w:p>
    <w:p>
      <w:pPr>
        <w:pStyle w:val="ListBullet"/>
        <w:spacing w:before="20" w:after="20"/>
        <w:ind w:left="283"/>
      </w:pPr>
      <w:r>
        <w:rPr>
          <w:sz w:val="20"/>
        </w:rPr>
        <w:t>Distribución CRM vs. Crédito: % del total asignado a CRM propios/externos (contado) y clientes B2B (crédito)</w:t>
      </w:r>
    </w:p>
    <w:p>
      <w:pPr>
        <w:pStyle w:val="ListBullet"/>
        <w:spacing w:before="20" w:after="20"/>
        <w:ind w:left="283"/>
      </w:pPr>
      <w:r>
        <w:rPr>
          <w:sz w:val="20"/>
        </w:rPr>
        <w:t>Estacionalidad mensual: Distribución del presupuesto anual en 12 meses con base en histórico N-1</w:t>
      </w:r>
    </w:p>
    <w:p>
      <w:pPr>
        <w:pStyle w:val="ListBullet"/>
        <w:spacing w:before="20" w:after="20"/>
        <w:ind w:left="283"/>
      </w:pPr>
      <w:r>
        <w:rPr>
          <w:sz w:val="20"/>
        </w:rPr>
        <w:t>Clientes especiales: Ingreso, T1 y Soy Más presupuestados individualmente (licitaciones)</w:t>
      </w:r>
    </w:p>
    <w:p>
      <w:pPr>
        <w:pStyle w:val="ListBullet"/>
        <w:spacing w:before="20" w:after="20"/>
        <w:ind w:left="283"/>
      </w:pPr>
      <w:r>
        <w:rPr>
          <w:sz w:val="20"/>
        </w:rPr>
        <w:t>Resultado: Presupuesto de ingresos por regional × tipo de servicio × mes</w:t>
      </w:r>
    </w:p>
    <w:p>
      <w:pPr>
        <w:spacing w:before="160" w:after="120"/>
      </w:pPr>
      <w:r>
        <w:rPr>
          <w:b/>
          <w:color w:val="00619A"/>
          <w:sz w:val="22"/>
        </w:rPr>
        <w:t>Metodología de Cálculo de Costos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Tipo Costo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Driver</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Fuente Dato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Fletes expedición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 de flete por kg despachado por regional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Kg × tarifa flete por destino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Silotrans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Mano de obra temporal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Personal plataforma y ruta variable según kg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Índice persona/kg por regional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Nómina SIESA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Fletes reexpedición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 del flete a destinos sin flota propia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 histórico de kg a terceros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Silotrans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Comisiones CRM ext.</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Comisión pagada a CRM externos por kg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Kg CRM ext. × tarifa comisión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Silotrans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Comisiones fuerza ventas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Parte variable del salario comercial por kg</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Kg crédito × índice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SIESA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Arrendamientos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Contrato por sede, ponderado por 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IPC + factor contractual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Contratos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Gastos fijos (IPC)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Honorarios, serv. públicos, asistencia técnica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Histórico N-1 × IPC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SIESA</w:t>
            </w:r>
          </w:p>
        </w:tc>
      </w:tr>
    </w:tbl>
    <w:p>
      <w:pPr>
        <w:spacing w:after="80"/>
      </w:pPr>
    </w:p>
    <w:p>
      <w:pPr>
        <w:spacing w:before="280" w:after="120"/>
        <w:pBdr>
          <w:bottom w:val="single" w:sz="6" w:color="003369"/>
        </w:pBdr>
      </w:pPr>
      <w:r>
        <w:rPr>
          <w:b/>
          <w:color w:val="003369"/>
          <w:sz w:val="32"/>
        </w:rPr>
        <w:t>4. Estructura organizativa relevante</w:t>
      </w:r>
    </w:p>
    <w:p>
      <w:pPr>
        <w:spacing w:before="40" w:after="80"/>
      </w:pPr>
      <w:r>
        <w:rPr>
          <w:i w:val="0"/>
          <w:sz w:val="20"/>
        </w:rPr>
        <w:t>Transprensa opera bajo una estructura organizativa matricial: una dirección nacional centralizada en Bogotá con 21 regionales operativas distribuidas en Colombia. La siguiente tabla describe los elementos organizativos relevantes para la configuración de los modelos SAC:</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Entidad Org.</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Dimensión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Ejemplos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Unidad legal de reporte financiero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SOCIEDAD_TRANS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Transprensa S.A.S.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Regional / Sede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21 regionales operativas en Colombia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CEBE_TRANS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Antioquia, Valle del Cauca, Cundinamarca, Eje Cafetero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CRM</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46 Centros de Recibo de Mercancía (propios y externos)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CLIENTE / CEBE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CRM Antioquia (4), CRM Valle (10), CRM Santa Marta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Tipo de 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Línea de negocio / Canal de venta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Paqueteo, Masivo, Almacenamiento, Vehículos Dedicados, Ingredientes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Centro de Costo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Unidad funcional para asignación de costos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CECOS_TRANS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Plataforma Regional, Ruta, Fuerza de Ventas, Nacional</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Centro de Beneficio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Agrupación por tipo de servicio / negocio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CEBE_TRANS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Paqueteo, Masivo, Almacenamiento, Ingreso, T1, Soy Más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Cliente Especial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Clientes de alta representatividad (~30% 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CLIENTE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 T1, Soy Más (licitaciones)</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107E3E"/>
            <w:tcBorders>
              <w:top w:val="single" w:sz="6" w:color="003369"/>
              <w:bottom w:val="single" w:sz="6" w:color="003369"/>
              <w:left w:val="single" w:sz="6" w:color="003369"/>
              <w:right w:val="single" w:sz="6" w:color="003369"/>
            </w:tcBorders>
          </w:tcPr>
          <w:p>
            <w:r>
              <w:rPr>
                <w:b/>
                <w:color w:val="FFFFFF"/>
                <w:sz w:val="20"/>
              </w:rPr>
              <w:t>Regiones de Operación de Transprensa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Antioquia · Valle del Cauca · Cundinamarca · Eje Cafetero (Armenia, Manizales, Pereira)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Santander · Nariño · Bolívar · Atlántico · Santa Marta · Tolima · Meta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21 regionales en total — Cobertura nacional con 46 CRM activos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Sede operativa Funza (almacén Sodimac) para distribución Soy Más</w:t>
            </w:r>
          </w:p>
        </w:tc>
      </w:tr>
    </w:tbl>
    <w:p>
      <w:pPr>
        <w:spacing w:after="120"/>
      </w:pPr>
    </w:p>
    <w:p>
      <w:pPr>
        <w:spacing w:before="280" w:after="120"/>
        <w:pBdr>
          <w:bottom w:val="single" w:sz="6" w:color="003369"/>
        </w:pBdr>
      </w:pPr>
      <w:r>
        <w:rPr>
          <w:b/>
          <w:color w:val="003369"/>
          <w:sz w:val="32"/>
        </w:rPr>
        <w:t>5. Diseño y configuración de soluciones</w:t>
      </w:r>
    </w:p>
    <w:p>
      <w:pPr>
        <w:spacing w:before="280" w:after="120"/>
      </w:pPr>
      <w:r>
        <w:rPr>
          <w:b/>
          <w:color w:val="00619A"/>
          <w:sz w:val="26"/>
        </w:rPr>
        <w:t>5.1. Alcance del proceso de solución</w:t>
      </w:r>
    </w:p>
    <w:p>
      <w:pPr>
        <w:spacing w:before="40" w:after="80"/>
      </w:pPr>
      <w:r>
        <w:rPr>
          <w:i w:val="0"/>
          <w:sz w:val="20"/>
        </w:rPr>
        <w:t>El alcance de SAC Planning para Transprensa contempla 3 modelos de planeación interconectados. Los modelos de Ingresos y Gastos/Costos alimentan el modelo de Estados Financieros, generando el P&amp;G administrativo por regional y el consolidado.</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Modelo SAC</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Tipo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Medida</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Dimensiones</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Capacidades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Ingresos Transprensa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(Measure)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Importe</w:t>
              <w:br/>
              <w:t>(Decimal)</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Version · CUENTA · Date · MONEDA</w:t>
              <w:br/>
              <w:t>CLIENTE · SERVICIO · AUDITORIA</w:t>
              <w:br/>
              <w:t>CEBE_TRANS · SOCIEDAD_TRANS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Capabilities ✔</w:t>
              <w:br/>
              <w:t>P×Q por regional</w:t>
              <w:br/>
              <w:t>Multi-versión</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Gastos y Costos</w:t>
              <w:br/>
              <w:t>Transprensa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Planning (Measure)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Importe</w:t>
              <w:br/>
              <w:t>(Decimal)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Version · CUENTA · Date · MONEDA</w:t>
              <w:br/>
              <w:t>CECOS_TRANS · AUDITORIA</w:t>
              <w:br/>
              <w:t>CEBE_TRANS · SOCIEDAD_TRANS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Planning Capabilities ✔</w:t>
              <w:br/>
              <w:t>Costos variables y fijos</w:t>
              <w:br/>
              <w:t>Centros de costo</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EEFF Transprensa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(Measure)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Importe</w:t>
              <w:br/>
              <w:t>(Decimal)</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Version · CUENTA · Date · MONEDA</w:t>
              <w:br/>
              <w:t>AUDITORIA · CEBE_TRANS</w:t>
              <w:br/>
              <w:t>SOCIEDAD_TRANS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Capabilities ✔</w:t>
              <w:br/>
              <w:t>Estado de Resultados</w:t>
              <w:br/>
              <w:t>Balance · Flujo de Caja</w:t>
            </w:r>
          </w:p>
        </w:tc>
      </w:tr>
    </w:tbl>
    <w:p>
      <w:pPr>
        <w:spacing w:after="80"/>
      </w:pPr>
    </w:p>
    <w:p>
      <w:pPr>
        <w:spacing w:before="160" w:after="120"/>
      </w:pPr>
      <w:r>
        <w:rPr>
          <w:b/>
          <w:color w:val="00619A"/>
          <w:sz w:val="22"/>
        </w:rPr>
        <w:t>Detalle de Dimensiones por Modelo</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Dimensión</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Tipo SAC</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Ingresos</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Gastos/Costos</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EEFF</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Version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Account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Date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CEBE_TRANS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Organization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SOCIEDAD_TRANS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CLIENTE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SERVICIO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CECOS_TRANS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Generic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w:t>
            </w:r>
          </w:p>
        </w:tc>
      </w:tr>
    </w:tbl>
    <w:p>
      <w:pPr>
        <w:spacing w:after="80"/>
      </w:pPr>
    </w:p>
    <w:p>
      <w:pPr>
        <w:spacing w:before="160" w:after="120"/>
      </w:pPr>
      <w:r>
        <w:rPr>
          <w:b/>
          <w:color w:val="00619A"/>
          <w:sz w:val="22"/>
        </w:rPr>
        <w:t>Configuración de Versiones Presupuestales</w:t>
      </w:r>
    </w:p>
    <w:p>
      <w:pPr>
        <w:spacing w:before="40" w:after="80"/>
      </w:pPr>
      <w:r>
        <w:rPr>
          <w:i w:val="0"/>
          <w:sz w:val="20"/>
        </w:rPr>
        <w:t>Transprensa maneja múltiples versiones presupuestales que deben ser configuradas en la dimensión Version de SAC:</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Versión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Descripción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Uso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PRESUPUESTO_FIN</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Presupuesto Financiero oficial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Base para P&amp;G y seguimiento financiero</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PRESUPUESTO_COM</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Presupuesto Comercial</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Meta para fuerza de ventas y regionales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Ejecución real (actuals)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Datos de Silotrans / SAP S/4HANA vía DataSphere</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FORECAST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Proyección intra-año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Actualización de estimados durante el año</w:t>
            </w:r>
          </w:p>
        </w:tc>
      </w:tr>
    </w:tbl>
    <w:p>
      <w:pPr>
        <w:spacing w:after="80"/>
      </w:pPr>
    </w:p>
    <w:p>
      <w:pPr>
        <w:spacing w:before="280" w:after="120"/>
      </w:pPr>
      <w:r>
        <w:rPr>
          <w:b/>
          <w:color w:val="00619A"/>
          <w:sz w:val="26"/>
        </w:rPr>
        <w:t>5.2. Valor de Actividad de Configuración</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Actividad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Prioridad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Estado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Creación modelos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Crear los 3 modelos Planning en SAC con sus dimensiones y medidas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Completado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 datos maestros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Cargar jerarquías de CUENTA, CEBE_TRANS, CECOS_TRANS, CLIENTE, 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Configurar versiones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Definir y configurar versiones: PRESUPUESTO_FIN, PRESUPUESTO_COM, REAL, FORECAST</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Plantillas de entrada de datos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Diseñar input forms para carga del presupuesto por región y 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Data Actions P×Q</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Programar data actions para cálculo automático de ingresos (kg × tarifa)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Data Action personal temporal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Algoritmo para ajuste de personal temporal según variación de kg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Conectores DataSphere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Configurar extracción de Silotrans y S/4HANA hacia DataSphere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definición</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Estacionalidad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Cargar factores de estacionalidad histórica por regional y servicio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Historiales N-1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Cargar ejecución real 2025 para cálculo de base y crecimiento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Reportes y dashboards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Crear stories SAC: ejecución presupuestal, P×Q, EBITDA por regional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r>
    </w:tbl>
    <w:p>
      <w:pPr>
        <w:spacing w:after="80"/>
      </w:pPr>
    </w:p>
    <w:p>
      <w:pPr>
        <w:spacing w:before="280" w:after="120"/>
      </w:pPr>
      <w:r>
        <w:rPr>
          <w:b/>
          <w:color w:val="00619A"/>
          <w:sz w:val="26"/>
        </w:rPr>
        <w:t>5.3. Roles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Rol</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Responsable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Acceso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Responsabilidades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Administrador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Consultor SAP BUILD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Full admin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Configuración modelos, dimensiones, data actions, versiones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Planeador Financiero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Liliana (Finanzas Transprensa)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Lectura / Escritura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 y validación del presupuesto por regional y servicio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Analista Comercial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Andrés (Comercial Transprensa)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Lectura / Escritura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Definición de crecimientos por regional; revisión Presupuesto Comercial</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Gerencia Regional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Gerentes de Regional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Solo lectura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Consulta de presupuesto y ejecución de su regional</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Gerencia General / CFO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Dirección Transprensa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Solo lectura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Reportes consolidados, P&amp;G, EBITDA, Junta Directiva</w:t>
            </w:r>
          </w:p>
        </w:tc>
      </w:tr>
    </w:tbl>
    <w:p>
      <w:pPr>
        <w:spacing w:after="80"/>
      </w:pPr>
    </w:p>
    <w:p>
      <w:pPr>
        <w:spacing w:before="280" w:after="120"/>
      </w:pPr>
      <w:r>
        <w:rPr>
          <w:b/>
          <w:color w:val="00619A"/>
          <w:sz w:val="26"/>
        </w:rPr>
        <w:t>5.4. Inventario de datos maestros susceptibles de migración</w:t>
      </w:r>
    </w:p>
    <w:p>
      <w:pPr>
        <w:spacing w:before="40" w:after="80"/>
      </w:pPr>
      <w:r>
        <w:rPr>
          <w:i w:val="0"/>
          <w:sz w:val="20"/>
        </w:rPr>
        <w:t>Los siguientes datos maestros deben ser cargados en SAC y alineados con las definiciones realizadas en los módulos SD, FI y CO de SAP S/4HANA. La fuente de verdad es SAP S/4HANA; Silotrans es fuente complementaria para los datos operativos (clientes, servicios, regionales):</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Dato Maestro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Dimensión SAC</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Fuente</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Jerarquía / Niveles</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Volumen Est.</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 de Cuentas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CUENTA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S/4HANA (SKA1)</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Clase → Grupo → Cuenta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~500 cuentas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Centros de Beneficio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CEBE_TRANS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SAP S/4HANA (CEPC)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Sociedad → Tipo Servicio → Regional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~30 CEBE</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Centros de Costo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CECOS_TRANS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S/4HANA (CSKS)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Sociedad → Área → Centro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~80 CECOS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Clientes / Regionales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CLIENTE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Silotrans / SD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Regional → CRM / Ejecutivo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~50 + clientes especiales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Tipos de Servicio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SERVICIO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Silotrans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Categoría → Subcategoría (CV/Subservicio)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~15 servicios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Monedas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MONEDA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SAP S/4HANA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COP (principal) / USD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2 monedas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SOCIEDAD_TRANS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S/4HANA (T001)</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Grupo Fanalca → Transprensa S.A.S.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 sociedad</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Versiones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Version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SAC (configuración)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Real · Presupuesto Fin · Presupuesto Com · Forecast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4 versiones</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E86A19"/>
            <w:tcBorders>
              <w:top w:val="single" w:sz="6" w:color="003369"/>
              <w:bottom w:val="single" w:sz="6" w:color="003369"/>
              <w:left w:val="single" w:sz="6" w:color="003369"/>
              <w:right w:val="single" w:sz="6" w:color="003369"/>
            </w:tcBorders>
          </w:tcPr>
          <w:p>
            <w:r>
              <w:rPr>
                <w:b/>
                <w:color w:val="FFFFFF"/>
                <w:sz w:val="20"/>
              </w:rPr>
              <w:t>Pendiente — Alineación con otros módulos SAP</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Coordinar con equipos SD / FI / CO las jerarquías definitivas antes de cargar en SAC</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Definir granularidad de CECOS_TRANS: este año sin CECOS en presupuesto; objetivo: incluir en 2027</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Confirmar fuente de datos reales: SAP S/4HANA vs. Silotrans (en definición)</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Reunión de integración pendiente: John + Sergio + equipo analítica (DataSphere + SAC)</w:t>
            </w:r>
          </w:p>
        </w:tc>
      </w:tr>
    </w:tbl>
    <w:p>
      <w:pPr>
        <w:spacing w:after="120"/>
      </w:pPr>
    </w:p>
    <w:p>
      <w:pPr>
        <w:spacing w:before="280" w:after="120"/>
      </w:pPr>
      <w:r>
        <w:rPr>
          <w:b/>
          <w:color w:val="00619A"/>
          <w:sz w:val="26"/>
        </w:rPr>
        <w:t>5.5. Componente de Solución Técnica Relacionada</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Componente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Tipo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Rol en la solución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Estado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Analytics Cloud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SaaS – Cloud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Plataforma de planeación: modelos, input forms, data actions, dashboards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Activo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Datasphere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SaaS – Cloud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Capa de integración, virtualización y maestros entre SAC y sistemas fuente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En configuración</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S/4HANA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On-premise / Cloud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Fuente de datos contables: SKA1 (cuentas), CEPC (CBen), CSKS (CCOS), ACDOCA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implementación</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Silotrans / Silotrack</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Legado On-premise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Fuente operativa: kg, remesas, clientes, origen-destino, tarifas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Activo (continúa)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SIESA (Contabilidad)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Legado On-premise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Fuente histórica de P&amp;G y nómina hasta Go-Live S/4HANA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Activo (transitorio)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SIESA Payroll (Nómina)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Legado On-premise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Fuente de datos de personal para modelo de nómina temporal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Activo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Power BI / Excel (actual)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Herramienta actual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Proceso actual de presupuestación; a reemplazar por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 reemplazar</w:t>
            </w:r>
          </w:p>
        </w:tc>
      </w:tr>
    </w:tbl>
    <w:p>
      <w:pPr>
        <w:spacing w:after="80"/>
      </w:pPr>
    </w:p>
    <w:p>
      <w:pPr>
        <w:spacing w:before="160" w:after="120"/>
      </w:pPr>
      <w:r>
        <w:rPr>
          <w:b/>
          <w:color w:val="00619A"/>
          <w:sz w:val="22"/>
        </w:rPr>
        <w:t>Modelos SAC en Construcción (Fuera de alcance actual)</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Modelo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Dimensiones Clave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20"/>
              </w:rPr>
              <w:t>Estado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Talento Humano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Presupuesto de nómina a nivel de empleado; integración con SIESA Payroll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Empleado · CECOS · CEBE · Cargo · Contrato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diseño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Flujo de Caja Diario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Gestión de liquidez: método directo; proyección semanal / diaria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Fecha · Cuenta · Tipo de Flujo · Sociedad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En diseño</w:t>
            </w:r>
          </w:p>
        </w:tc>
      </w:tr>
    </w:tbl>
    <w:p>
      <w:pPr>
        <w:spacing w:after="160"/>
      </w:pP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Próximos pasos — Proyecto SAP BUILD</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1. Revisión y aprobación de este documento de diseño (antes del 05/06/2026)</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2. Reunión de integración: SAC + DataSphere + módulos SD/FI/CO para alinear maestros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3. Sesión de diseño: Modelo de Talento Humano (fuente: SIESA Payroll)</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4. Sesión de diseño: Modelo de Flujo de Caja Diario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5. Inicio fase de realización: configuración, carga de maestros y plantillas (jul-ago 2026)</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6. Reunión arquitectura analítica: SAC + DataSphere + Business Data Cloud (Carolina / Kevin)</w:t>
            </w:r>
          </w:p>
        </w:tc>
      </w:tr>
    </w:tbl>
    <w:p>
      <w:pPr>
        <w:spacing w:after="120"/>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57575"/>
        <w:sz w:val="16"/>
      </w:rPr>
      <w:t>SAP BUILD | Grupo Fanalca — Sociedad Transprensa | Documento Confidencial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