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0477C"/>
          <w:sz w:val="56"/>
        </w:rPr>
        <w:t>SAP Analytics Cloud</w:t>
      </w:r>
    </w:p>
    <w:p>
      <w:pPr>
        <w:jc w:val="center"/>
      </w:pPr>
      <w:r>
        <w:rPr>
          <w:b/>
          <w:color w:val="006DBB"/>
          <w:sz w:val="40"/>
        </w:rPr>
        <w:t>Guía de Conexión OData Services</w:t>
        <w:br/>
        <w:t>entre Diferentes Ambientes</w:t>
      </w:r>
    </w:p>
    <w:p/>
    <w:p>
      <w:pPr>
        <w:jc w:val="center"/>
      </w:pPr>
      <w:r>
        <w:rPr>
          <w:i/>
          <w:color w:val="555555"/>
          <w:sz w:val="26"/>
        </w:rPr>
        <w:t>Instructivo Técnico Paso a Paso</w:t>
      </w:r>
    </w:p>
    <w:p/>
    <w:p>
      <w:pPr>
        <w:jc w:val="center"/>
      </w:pPr>
      <w:r>
        <w:rPr>
          <w:color w:val="888888"/>
          <w:sz w:val="22"/>
        </w:rPr>
        <w:t>Versión 1.0  |  Abril 2026</w:t>
      </w:r>
    </w:p>
    <w:p>
      <w:r>
        <w:br w:type="page"/>
      </w:r>
    </w:p>
    <w:p>
      <w:pPr>
        <w:pStyle w:val="Heading1"/>
      </w:pPr>
      <w:r>
        <w:rPr>
          <w:color w:val="006DBB"/>
          <w:sz w:val="32"/>
        </w:rPr>
        <w:t>Índice</w:t>
      </w:r>
    </w:p>
    <w:p>
      <w:pPr>
        <w:pStyle w:val="ListBullet"/>
        <w:spacing w:after="60"/>
        <w:ind w:left="360"/>
      </w:pPr>
      <w:r>
        <w:t>1. Prerrequisitos</w:t>
      </w:r>
    </w:p>
    <w:p>
      <w:pPr>
        <w:pStyle w:val="ListBullet"/>
        <w:spacing w:after="60"/>
        <w:ind w:left="360"/>
      </w:pPr>
      <w:r>
        <w:t>2. Conceptos Clave</w:t>
      </w:r>
    </w:p>
    <w:p>
      <w:pPr>
        <w:pStyle w:val="ListBullet"/>
        <w:spacing w:after="60"/>
        <w:ind w:left="360"/>
      </w:pPr>
      <w:r>
        <w:t>3. Configuración en el Sistema Origen (SAP Backend)</w:t>
      </w:r>
    </w:p>
    <w:p>
      <w:pPr>
        <w:pStyle w:val="ListBullet"/>
        <w:spacing w:after="60"/>
        <w:ind w:left="360"/>
      </w:pPr>
      <w:r>
        <w:t>4. Configuración del Agente de Datos (SAP Cloud Connector)</w:t>
      </w:r>
    </w:p>
    <w:p>
      <w:pPr>
        <w:pStyle w:val="ListBullet"/>
        <w:spacing w:after="60"/>
        <w:ind w:left="360"/>
      </w:pPr>
      <w:r>
        <w:t>5. Crear la Conexión OData en SAC</w:t>
      </w:r>
    </w:p>
    <w:p>
      <w:pPr>
        <w:pStyle w:val="ListBullet"/>
        <w:spacing w:after="60"/>
        <w:ind w:left="360"/>
      </w:pPr>
      <w:r>
        <w:t>6. Conectar entre Diferentes Ambientes (DEV / QAS / PRD)</w:t>
      </w:r>
    </w:p>
    <w:p>
      <w:pPr>
        <w:pStyle w:val="ListBullet"/>
        <w:spacing w:after="60"/>
        <w:ind w:left="360"/>
      </w:pPr>
      <w:r>
        <w:t>7. Crear un Modelo desde la Conexión OData</w:t>
      </w:r>
    </w:p>
    <w:p>
      <w:pPr>
        <w:pStyle w:val="ListBullet"/>
        <w:spacing w:after="60"/>
        <w:ind w:left="360"/>
      </w:pPr>
      <w:r>
        <w:t>8. Transporte de Conexiones entre Ambientes SAC</w:t>
      </w:r>
    </w:p>
    <w:p>
      <w:pPr>
        <w:pStyle w:val="ListBullet"/>
        <w:spacing w:after="60"/>
        <w:ind w:left="360"/>
      </w:pPr>
      <w:r>
        <w:t>9. Verificación y Pruebas</w:t>
      </w:r>
    </w:p>
    <w:p>
      <w:pPr>
        <w:pStyle w:val="ListBullet"/>
        <w:spacing w:after="60"/>
        <w:ind w:left="360"/>
      </w:pPr>
      <w:r>
        <w:t>10. Resolución de Problemas Comunes</w:t>
      </w:r>
    </w:p>
    <w:p>
      <w:pPr>
        <w:pStyle w:val="ListBullet"/>
        <w:spacing w:after="60"/>
        <w:ind w:left="360"/>
      </w:pPr>
      <w:r>
        <w:t>11. Buenas Prácticas</w:t>
      </w:r>
    </w:p>
    <w:p>
      <w:r>
        <w:br w:type="page"/>
      </w:r>
    </w:p>
    <w:p>
      <w:pPr>
        <w:pStyle w:val="Heading1"/>
      </w:pPr>
      <w:r>
        <w:rPr>
          <w:color w:val="006DBB"/>
          <w:sz w:val="32"/>
        </w:rPr>
        <w:t>1. Prerrequisitos</w:t>
      </w:r>
    </w:p>
    <w:p>
      <w:pPr>
        <w:pStyle w:val="Heading2"/>
      </w:pPr>
      <w:r>
        <w:rPr>
          <w:color w:val="1A1A1A"/>
          <w:sz w:val="26"/>
        </w:rPr>
        <w:t>En SAP Backend (S/4HANA, BW/4HANA, ECC)</w:t>
      </w:r>
    </w:p>
    <w:p>
      <w:pPr>
        <w:pStyle w:val="ListBullet"/>
        <w:spacing w:after="60"/>
        <w:ind w:left="360"/>
      </w:pPr>
      <w:r>
        <w:t>Usuario con rol SAP_BC_DWB_WBDISPLAY o equivalente con acceso a los servicios OData requeridos.</w:t>
      </w:r>
    </w:p>
    <w:p>
      <w:pPr>
        <w:pStyle w:val="ListBullet"/>
        <w:spacing w:after="60"/>
        <w:ind w:left="360"/>
      </w:pPr>
      <w:r>
        <w:t>Servicios OData activados en transacción /IWFND/MAINT_SERVICE.</w:t>
      </w:r>
    </w:p>
    <w:p>
      <w:pPr>
        <w:pStyle w:val="ListBullet"/>
        <w:spacing w:after="60"/>
        <w:ind w:left="360"/>
      </w:pPr>
      <w:r>
        <w:t>Servicio expuesto y con estado Active en el Gateway.</w:t>
      </w:r>
    </w:p>
    <w:p>
      <w:pPr>
        <w:pStyle w:val="Heading2"/>
      </w:pPr>
      <w:r>
        <w:rPr>
          <w:color w:val="1A1A1A"/>
          <w:sz w:val="26"/>
        </w:rPr>
        <w:t>En SAP Analytics Cloud</w:t>
      </w:r>
    </w:p>
    <w:p>
      <w:pPr>
        <w:pStyle w:val="ListBullet"/>
        <w:spacing w:after="60"/>
        <w:ind w:left="360"/>
      </w:pPr>
      <w:r>
        <w:t>Usuario administrador con rol BI Admin o System Owner.</w:t>
      </w:r>
    </w:p>
    <w:p>
      <w:pPr>
        <w:pStyle w:val="ListBullet"/>
        <w:spacing w:after="60"/>
        <w:ind w:left="360"/>
      </w:pPr>
      <w:r>
        <w:t>Acceso a System Administration &gt; Connections.</w:t>
      </w:r>
    </w:p>
    <w:p>
      <w:pPr>
        <w:pStyle w:val="ListBullet"/>
        <w:spacing w:after="60"/>
        <w:ind w:left="360"/>
      </w:pPr>
      <w:r>
        <w:t>Tenant SAC disponible y licenciado.</w:t>
      </w:r>
    </w:p>
    <w:p>
      <w:pPr>
        <w:pStyle w:val="Heading2"/>
      </w:pPr>
      <w:r>
        <w:rPr>
          <w:color w:val="1A1A1A"/>
          <w:sz w:val="26"/>
        </w:rPr>
        <w:t>Red / Conectividad</w:t>
      </w:r>
    </w:p>
    <w:p>
      <w:pPr>
        <w:pStyle w:val="ListBullet"/>
        <w:spacing w:after="60"/>
        <w:ind w:left="360"/>
      </w:pPr>
      <w:r>
        <w:t>Si el sistema origen es On-Premise: SAP Cloud Connector (SCC) instalado y operativo.</w:t>
      </w:r>
    </w:p>
    <w:p>
      <w:pPr>
        <w:pStyle w:val="ListBullet"/>
        <w:spacing w:after="60"/>
        <w:ind w:left="360"/>
      </w:pPr>
      <w:r>
        <w:t>Si el sistema origen es Cloud: URL pública del servicio OData accesible (HTTPS).</w:t>
      </w:r>
    </w:p>
    <w:p>
      <w:pPr>
        <w:pStyle w:val="ListBullet"/>
        <w:spacing w:after="60"/>
        <w:ind w:left="360"/>
      </w:pPr>
      <w:r>
        <w:t>Certificados SSL válidos (no auto-firmados en producción).</w:t>
      </w:r>
    </w:p>
    <w:p>
      <w:r>
        <w:br w:type="page"/>
      </w:r>
    </w:p>
    <w:p>
      <w:pPr>
        <w:pStyle w:val="Heading1"/>
      </w:pPr>
      <w:r>
        <w:rPr>
          <w:color w:val="006DBB"/>
          <w:sz w:val="32"/>
        </w:rPr>
        <w:t>2. Conceptos Clave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6DB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6236"/>
            <w:shd w:val="clear" w:color="auto" w:fill="006DB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  <w:shd w:val="clear" w:color="auto" w:fill="EAF4FB"/>
          </w:tcPr>
          <w:p>
            <w:r>
              <w:rPr>
                <w:sz w:val="20"/>
              </w:rPr>
              <w:t>OData</w:t>
            </w:r>
          </w:p>
        </w:tc>
        <w:tc>
          <w:tcPr>
            <w:tcW w:type="dxa" w:w="6236"/>
            <w:shd w:val="clear" w:color="auto" w:fill="EAF4FB"/>
          </w:tcPr>
          <w:p>
            <w:r>
              <w:rPr>
                <w:sz w:val="20"/>
              </w:rPr>
              <w:t>Protocolo estándar REST para exponer y consumir datos (Open Data Protocol).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SAC Live Connection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Conexión en tiempo real; los datos NO se importan a SAC.</w:t>
            </w:r>
          </w:p>
        </w:tc>
      </w:tr>
      <w:tr>
        <w:tc>
          <w:tcPr>
            <w:tcW w:type="dxa" w:w="2835"/>
            <w:shd w:val="clear" w:color="auto" w:fill="EAF4FB"/>
          </w:tcPr>
          <w:p>
            <w:r>
              <w:rPr>
                <w:sz w:val="20"/>
              </w:rPr>
              <w:t>SAC Import Connection</w:t>
            </w:r>
          </w:p>
        </w:tc>
        <w:tc>
          <w:tcPr>
            <w:tcW w:type="dxa" w:w="6236"/>
            <w:shd w:val="clear" w:color="auto" w:fill="EAF4FB"/>
          </w:tcPr>
          <w:p>
            <w:r>
              <w:rPr>
                <w:sz w:val="20"/>
              </w:rPr>
              <w:t>Los datos se importan/replican en SAC para su análisis offline.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Cloud Connector (SCC)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Túnel seguro entre la red corporativa (on-premise) y SAP BTP/SAC.</w:t>
            </w:r>
          </w:p>
        </w:tc>
      </w:tr>
      <w:tr>
        <w:tc>
          <w:tcPr>
            <w:tcW w:type="dxa" w:w="2835"/>
            <w:shd w:val="clear" w:color="auto" w:fill="EAF4FB"/>
          </w:tcPr>
          <w:p>
            <w:r>
              <w:rPr>
                <w:sz w:val="20"/>
              </w:rPr>
              <w:t>Ambiente</w:t>
            </w:r>
          </w:p>
        </w:tc>
        <w:tc>
          <w:tcPr>
            <w:tcW w:type="dxa" w:w="6236"/>
            <w:shd w:val="clear" w:color="auto" w:fill="EAF4FB"/>
          </w:tcPr>
          <w:p>
            <w:r>
              <w:rPr>
                <w:sz w:val="20"/>
              </w:rPr>
              <w:t>Instancia separada del sistema: Desarrollo (DEV), Calidad (QAS), Producción (PRD).</w:t>
            </w:r>
          </w:p>
        </w:tc>
      </w:tr>
    </w:tbl>
    <w:p/>
    <w:p>
      <w:pPr>
        <w:pStyle w:val="Heading1"/>
      </w:pPr>
      <w:r>
        <w:rPr>
          <w:color w:val="006DBB"/>
          <w:sz w:val="32"/>
        </w:rPr>
        <w:t>3. Configuración en el Sistema Origen (SAP Backend)</w:t>
      </w:r>
    </w:p>
    <w:p>
      <w:pPr>
        <w:pStyle w:val="Heading2"/>
      </w:pPr>
      <w:r>
        <w:rPr>
          <w:color w:val="1A1A1A"/>
          <w:sz w:val="26"/>
        </w:rPr>
        <w:t>Paso 3.1 — Verificar el servicio OData activo</w:t>
      </w:r>
    </w:p>
    <w:p>
      <w:pPr>
        <w:pStyle w:val="ListBullet"/>
        <w:spacing w:after="60"/>
        <w:ind w:left="360"/>
      </w:pPr>
      <w:r>
        <w:t>Ingresar a SAP GUI del sistema backend correspondiente (DEV, QAS o PRD).</w:t>
      </w:r>
    </w:p>
    <w:p>
      <w:pPr>
        <w:pStyle w:val="ListBullet"/>
        <w:spacing w:after="60"/>
        <w:ind w:left="360"/>
      </w:pPr>
      <w:r>
        <w:t>Ejecutar la transacción:</w:t>
      </w:r>
    </w:p>
    <w:p>
      <w:pPr>
        <w:spacing w:after="120"/>
        <w:ind w:left="576"/>
      </w:pPr>
      <w:r>
        <w:rPr>
          <w:rFonts w:ascii="Courier New" w:hAnsi="Courier New"/>
          <w:color w:val="C7254E"/>
          <w:sz w:val="20"/>
        </w:rPr>
        <w:t>/n/IWFND/MAINT_SERVICE</w:t>
      </w:r>
    </w:p>
    <w:p>
      <w:pPr>
        <w:pStyle w:val="ListBullet"/>
        <w:spacing w:after="60"/>
        <w:ind w:left="360"/>
      </w:pPr>
      <w:r>
        <w:t>Buscar el servicio por su Technical Service Name (ej. ZVENTAS_SRV).</w:t>
      </w:r>
    </w:p>
    <w:p>
      <w:pPr>
        <w:pStyle w:val="ListBullet"/>
        <w:spacing w:after="60"/>
        <w:ind w:left="360"/>
      </w:pPr>
      <w:r>
        <w:t>Confirmar que el campo Status muestra el ícono verde (activo).</w:t>
      </w:r>
    </w:p>
    <w:p>
      <w:pPr>
        <w:pStyle w:val="Heading2"/>
      </w:pPr>
      <w:r>
        <w:rPr>
          <w:color w:val="1A1A1A"/>
          <w:sz w:val="26"/>
        </w:rPr>
        <w:t>Paso 3.2 — Obtener la URL del servicio</w:t>
      </w:r>
    </w:p>
    <w:p>
      <w:pPr>
        <w:pStyle w:val="ListBullet"/>
        <w:spacing w:after="60"/>
        <w:ind w:left="360"/>
      </w:pPr>
      <w:r>
        <w:t>En /IWFND/MAINT_SERVICE, seleccionar el servicio y hacer clic en Call Browser.</w:t>
      </w:r>
    </w:p>
    <w:p>
      <w:pPr>
        <w:pStyle w:val="ListBullet"/>
        <w:spacing w:after="60"/>
        <w:ind w:left="360"/>
      </w:pPr>
      <w:r>
        <w:t>El navegador mostrará la URL base del servicio. Formato típico:</w:t>
      </w:r>
    </w:p>
    <w:p>
      <w:pPr>
        <w:spacing w:after="120"/>
        <w:ind w:left="576"/>
      </w:pPr>
      <w:r>
        <w:rPr>
          <w:rFonts w:ascii="Courier New" w:hAnsi="Courier New"/>
          <w:color w:val="C7254E"/>
          <w:sz w:val="20"/>
        </w:rPr>
        <w:t>https://&lt;host&gt;:&lt;puerto&gt;/sap/opu/odata/sap/&lt;NOMBRE_SERVICIO&gt;/</w:t>
      </w:r>
    </w:p>
    <w:p>
      <w:pPr>
        <w:pStyle w:val="ListBullet"/>
        <w:spacing w:after="60"/>
        <w:ind w:left="360"/>
      </w:pPr>
      <w:r>
        <w:t>Verificar que al abrir la URL se devuelva el XML del service document.</w:t>
      </w:r>
    </w:p>
    <w:p>
      <w:pPr>
        <w:pStyle w:val="Heading2"/>
      </w:pPr>
      <w:r>
        <w:rPr>
          <w:color w:val="1A1A1A"/>
          <w:sz w:val="26"/>
        </w:rPr>
        <w:t>Paso 3.3 — Asignar usuario técnico</w:t>
      </w:r>
    </w:p>
    <w:p>
      <w:pPr>
        <w:pStyle w:val="ListBullet"/>
        <w:spacing w:after="60"/>
        <w:ind w:left="360"/>
      </w:pPr>
      <w:r>
        <w:t>Crear o utilizar un usuario técnico dedicado (tipo System o Service) en transacción SU01.</w:t>
      </w:r>
    </w:p>
    <w:p>
      <w:pPr>
        <w:pStyle w:val="ListBullet"/>
        <w:spacing w:after="60"/>
        <w:ind w:left="360"/>
      </w:pPr>
      <w:r>
        <w:t>Asignar los roles mínimos necesarios para leer los EntitySets del servicio.</w:t>
      </w:r>
    </w:p>
    <w:p>
      <w:pPr>
        <w:pStyle w:val="ListBullet"/>
        <w:spacing w:after="60"/>
        <w:ind w:left="360"/>
      </w:pPr>
      <w:r>
        <w:t>No utilizar usuarios personales para conexiones de sistema a sistema.</w:t>
      </w:r>
    </w:p>
    <w:p>
      <w:r>
        <w:br w:type="page"/>
      </w:r>
    </w:p>
    <w:p>
      <w:pPr>
        <w:pStyle w:val="Heading1"/>
      </w:pPr>
      <w:r>
        <w:rPr>
          <w:color w:val="006DBB"/>
          <w:sz w:val="32"/>
        </w:rPr>
        <w:t>4. Configuración del Agente de Datos (SAP Cloud Connector)</w:t>
      </w:r>
    </w:p>
    <w:p>
      <w:pPr>
        <w:spacing w:after="120"/>
        <w:ind w:left="576"/>
      </w:pPr>
      <w:r>
        <w:rPr>
          <w:i/>
          <w:color w:val="555555"/>
        </w:rPr>
        <w:t>Nota: Esta sección aplica solo si el sistema origen es On-Premise. Si el origen es Cloud, pasar al Paso 5.</w:t>
      </w:r>
    </w:p>
    <w:p>
      <w:pPr>
        <w:pStyle w:val="Heading2"/>
      </w:pPr>
      <w:r>
        <w:rPr>
          <w:color w:val="1A1A1A"/>
          <w:sz w:val="26"/>
        </w:rPr>
        <w:t>Paso 4.1 — Acceder a la administración del SCC</w:t>
      </w:r>
    </w:p>
    <w:p>
      <w:pPr>
        <w:pStyle w:val="ListBullet"/>
        <w:spacing w:after="60"/>
        <w:ind w:left="360"/>
      </w:pPr>
      <w:r>
        <w:t>Abrir el navegador y acceder a la URL del Cloud Connector:</w:t>
      </w:r>
    </w:p>
    <w:p>
      <w:pPr>
        <w:spacing w:after="120"/>
        <w:ind w:left="576"/>
      </w:pPr>
      <w:r>
        <w:rPr>
          <w:rFonts w:ascii="Courier New" w:hAnsi="Courier New"/>
          <w:color w:val="C7254E"/>
          <w:sz w:val="20"/>
        </w:rPr>
        <w:t>https://&lt;host-scc&gt;:8443</w:t>
      </w:r>
    </w:p>
    <w:p>
      <w:pPr>
        <w:pStyle w:val="ListBullet"/>
        <w:spacing w:after="60"/>
        <w:ind w:left="360"/>
      </w:pPr>
      <w:r>
        <w:t>Ingresar con credenciales de administrador del SCC.</w:t>
      </w:r>
    </w:p>
    <w:p>
      <w:pPr>
        <w:pStyle w:val="Heading2"/>
      </w:pPr>
      <w:r>
        <w:rPr>
          <w:color w:val="1A1A1A"/>
          <w:sz w:val="26"/>
        </w:rPr>
        <w:t>Paso 4.2 — Configurar el Sub-account de SAP BTP</w:t>
      </w:r>
    </w:p>
    <w:p>
      <w:pPr>
        <w:pStyle w:val="ListBullet"/>
        <w:spacing w:after="60"/>
        <w:ind w:left="360"/>
      </w:pPr>
      <w:r>
        <w:t>Ir a Connector &gt; Cloud To On-Premise &gt; Access Control.</w:t>
      </w:r>
    </w:p>
    <w:p>
      <w:pPr>
        <w:pStyle w:val="ListBullet"/>
        <w:spacing w:after="60"/>
        <w:ind w:left="360"/>
      </w:pPr>
      <w:r>
        <w:t>Verificar que el sub-account de SAP BTP esté conectado con estado Connected (ícono verde).</w:t>
      </w:r>
    </w:p>
    <w:p>
      <w:pPr>
        <w:pStyle w:val="Heading2"/>
      </w:pPr>
      <w:r>
        <w:rPr>
          <w:color w:val="1A1A1A"/>
          <w:sz w:val="26"/>
        </w:rPr>
        <w:t>Paso 4.3 — Agregar el sistema backend como recurso expuesto</w:t>
      </w:r>
    </w:p>
    <w:p>
      <w:pPr>
        <w:pStyle w:val="ListBullet"/>
        <w:spacing w:after="60"/>
        <w:ind w:left="360"/>
      </w:pPr>
      <w:r>
        <w:t>En Mapping Virtual To Internal System, hacer clic en + (Agregar).</w:t>
      </w:r>
    </w:p>
    <w:p>
      <w:pPr>
        <w:pStyle w:val="ListBullet"/>
        <w:spacing w:after="60"/>
        <w:ind w:left="360"/>
      </w:pPr>
      <w:r>
        <w:t>Completar los campos: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6DB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669"/>
            <w:shd w:val="clear" w:color="auto" w:fill="006DB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ejemplo</w:t>
            </w:r>
          </w:p>
        </w:tc>
      </w:tr>
      <w:tr>
        <w:tc>
          <w:tcPr>
            <w:tcW w:type="dxa" w:w="3402"/>
            <w:shd w:val="clear" w:color="auto" w:fill="EAF4FB"/>
          </w:tcPr>
          <w:p>
            <w:r>
              <w:rPr>
                <w:sz w:val="20"/>
              </w:rPr>
              <w:t>Back-end Type</w:t>
            </w:r>
          </w:p>
        </w:tc>
        <w:tc>
          <w:tcPr>
            <w:tcW w:type="dxa" w:w="5669"/>
            <w:shd w:val="clear" w:color="auto" w:fill="EAF4FB"/>
          </w:tcPr>
          <w:p>
            <w:r>
              <w:rPr>
                <w:sz w:val="20"/>
              </w:rPr>
              <w:t>ABAP System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Protocol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HTTPS</w:t>
            </w:r>
          </w:p>
        </w:tc>
      </w:tr>
      <w:tr>
        <w:tc>
          <w:tcPr>
            <w:tcW w:type="dxa" w:w="3402"/>
            <w:shd w:val="clear" w:color="auto" w:fill="EAF4FB"/>
          </w:tcPr>
          <w:p>
            <w:r>
              <w:rPr>
                <w:sz w:val="20"/>
              </w:rPr>
              <w:t>Internal Host</w:t>
            </w:r>
          </w:p>
        </w:tc>
        <w:tc>
          <w:tcPr>
            <w:tcW w:type="dxa" w:w="5669"/>
            <w:shd w:val="clear" w:color="auto" w:fill="EAF4FB"/>
          </w:tcPr>
          <w:p>
            <w:r>
              <w:rPr>
                <w:sz w:val="20"/>
              </w:rPr>
              <w:t>sapdev.empresa.com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Internal Port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44300</w:t>
            </w:r>
          </w:p>
        </w:tc>
      </w:tr>
      <w:tr>
        <w:tc>
          <w:tcPr>
            <w:tcW w:type="dxa" w:w="3402"/>
            <w:shd w:val="clear" w:color="auto" w:fill="EAF4FB"/>
          </w:tcPr>
          <w:p>
            <w:r>
              <w:rPr>
                <w:sz w:val="20"/>
              </w:rPr>
              <w:t>Virtual Host</w:t>
            </w:r>
          </w:p>
        </w:tc>
        <w:tc>
          <w:tcPr>
            <w:tcW w:type="dxa" w:w="5669"/>
            <w:shd w:val="clear" w:color="auto" w:fill="EAF4FB"/>
          </w:tcPr>
          <w:p>
            <w:r>
              <w:rPr>
                <w:sz w:val="20"/>
              </w:rPr>
              <w:t>sapdev-virtual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Virtual Port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44300</w:t>
            </w:r>
          </w:p>
        </w:tc>
      </w:tr>
      <w:tr>
        <w:tc>
          <w:tcPr>
            <w:tcW w:type="dxa" w:w="3402"/>
            <w:shd w:val="clear" w:color="auto" w:fill="EAF4FB"/>
          </w:tcPr>
          <w:p>
            <w:r>
              <w:rPr>
                <w:sz w:val="20"/>
              </w:rPr>
              <w:t>Principal Type</w:t>
            </w:r>
          </w:p>
        </w:tc>
        <w:tc>
          <w:tcPr>
            <w:tcW w:type="dxa" w:w="5669"/>
            <w:shd w:val="clear" w:color="auto" w:fill="EAF4FB"/>
          </w:tcPr>
          <w:p>
            <w:r>
              <w:rPr>
                <w:sz w:val="20"/>
              </w:rPr>
              <w:t>None (o X.509 si usa certificados)</w:t>
            </w:r>
          </w:p>
        </w:tc>
      </w:tr>
    </w:tbl>
    <w:p/>
    <w:p>
      <w:pPr>
        <w:pStyle w:val="ListBullet"/>
        <w:spacing w:after="60"/>
        <w:ind w:left="360"/>
      </w:pPr>
      <w:r>
        <w:t>Hacer clic en Save.</w:t>
      </w:r>
    </w:p>
    <w:p>
      <w:pPr>
        <w:pStyle w:val="Heading2"/>
      </w:pPr>
      <w:r>
        <w:rPr>
          <w:color w:val="1A1A1A"/>
          <w:sz w:val="26"/>
        </w:rPr>
        <w:t>Paso 4.4 — Exponer los recursos (paths OData)</w:t>
      </w:r>
    </w:p>
    <w:p>
      <w:pPr>
        <w:pStyle w:val="ListBullet"/>
        <w:spacing w:after="60"/>
        <w:ind w:left="360"/>
      </w:pPr>
      <w:r>
        <w:t>Seleccionar el sistema recién creado y en Resources, hacer clic en +.</w:t>
      </w:r>
    </w:p>
    <w:p>
      <w:pPr>
        <w:pStyle w:val="ListBullet"/>
        <w:spacing w:after="60"/>
        <w:ind w:left="360"/>
      </w:pPr>
      <w:r>
        <w:t>Agregar el path del servicio OData: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6DB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669"/>
            <w:shd w:val="clear" w:color="auto" w:fill="006DB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402"/>
            <w:shd w:val="clear" w:color="auto" w:fill="EAF4FB"/>
          </w:tcPr>
          <w:p>
            <w:r>
              <w:rPr>
                <w:sz w:val="20"/>
              </w:rPr>
              <w:t>URL Path</w:t>
            </w:r>
          </w:p>
        </w:tc>
        <w:tc>
          <w:tcPr>
            <w:tcW w:type="dxa" w:w="5669"/>
            <w:shd w:val="clear" w:color="auto" w:fill="EAF4FB"/>
          </w:tcPr>
          <w:p>
            <w:r>
              <w:rPr>
                <w:sz w:val="20"/>
              </w:rPr>
              <w:t>/sap/opu/odata/sap/ZVENTAS_SRV/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Marcado</w:t>
            </w:r>
          </w:p>
        </w:tc>
      </w:tr>
      <w:tr>
        <w:tc>
          <w:tcPr>
            <w:tcW w:type="dxa" w:w="3402"/>
            <w:shd w:val="clear" w:color="auto" w:fill="EAF4FB"/>
          </w:tcPr>
          <w:p>
            <w:r>
              <w:rPr>
                <w:sz w:val="20"/>
              </w:rPr>
              <w:t>Access Policy</w:t>
            </w:r>
          </w:p>
        </w:tc>
        <w:tc>
          <w:tcPr>
            <w:tcW w:type="dxa" w:w="5669"/>
            <w:shd w:val="clear" w:color="auto" w:fill="EAF4FB"/>
          </w:tcPr>
          <w:p>
            <w:r>
              <w:rPr>
                <w:sz w:val="20"/>
              </w:rPr>
              <w:t>Path and all sub-paths</w:t>
            </w:r>
          </w:p>
        </w:tc>
      </w:tr>
    </w:tbl>
    <w:p/>
    <w:p>
      <w:pPr>
        <w:pStyle w:val="ListBullet"/>
        <w:spacing w:after="60"/>
        <w:ind w:left="360"/>
      </w:pPr>
      <w:r>
        <w:t>Guardar y verificar que el estado sea Reachable.</w:t>
      </w:r>
    </w:p>
    <w:p>
      <w:r>
        <w:br w:type="page"/>
      </w:r>
    </w:p>
    <w:p>
      <w:pPr>
        <w:pStyle w:val="Heading1"/>
      </w:pPr>
      <w:r>
        <w:rPr>
          <w:color w:val="006DBB"/>
          <w:sz w:val="32"/>
        </w:rPr>
        <w:t>5. Crear la Conexión OData en SAC</w:t>
      </w:r>
    </w:p>
    <w:p>
      <w:pPr>
        <w:pStyle w:val="Heading2"/>
      </w:pPr>
      <w:r>
        <w:rPr>
          <w:color w:val="1A1A1A"/>
          <w:sz w:val="26"/>
        </w:rPr>
        <w:t>Paso 5.1 — Acceder a la sección de Conexiones</w:t>
      </w:r>
    </w:p>
    <w:p>
      <w:pPr>
        <w:pStyle w:val="ListBullet"/>
        <w:spacing w:after="60"/>
        <w:ind w:left="360"/>
      </w:pPr>
      <w:r>
        <w:t>Ingresar a SAP Analytics Cloud con usuario administrador.</w:t>
      </w:r>
    </w:p>
    <w:p>
      <w:pPr>
        <w:pStyle w:val="ListBullet"/>
        <w:spacing w:after="60"/>
        <w:ind w:left="360"/>
      </w:pPr>
      <w:r>
        <w:t>En el menú principal, navegar a:</w:t>
      </w:r>
    </w:p>
    <w:p>
      <w:pPr>
        <w:spacing w:after="120"/>
        <w:ind w:left="576"/>
      </w:pPr>
      <w:r>
        <w:rPr>
          <w:rFonts w:ascii="Courier New" w:hAnsi="Courier New"/>
          <w:color w:val="C7254E"/>
          <w:sz w:val="20"/>
        </w:rPr>
        <w:t>System &gt; Administration &gt; Connections</w:t>
      </w:r>
    </w:p>
    <w:p>
      <w:pPr>
        <w:pStyle w:val="ListBullet"/>
        <w:spacing w:after="60"/>
        <w:ind w:left="360"/>
      </w:pPr>
      <w:r>
        <w:t>Hacer clic en el botón + Add Connection (esquina superior derecha).</w:t>
      </w:r>
    </w:p>
    <w:p>
      <w:pPr>
        <w:pStyle w:val="Heading2"/>
      </w:pPr>
      <w:r>
        <w:rPr>
          <w:color w:val="1A1A1A"/>
          <w:sz w:val="26"/>
        </w:rPr>
        <w:t>Paso 5.2 — Seleccionar el tipo de conexión</w:t>
      </w:r>
    </w:p>
    <w:p>
      <w:pPr>
        <w:pStyle w:val="ListBullet"/>
        <w:spacing w:after="60"/>
        <w:ind w:left="360"/>
      </w:pPr>
      <w:r>
        <w:t>En el buscador del diálogo, escribir OData o navegar a:</w:t>
      </w:r>
    </w:p>
    <w:p>
      <w:pPr>
        <w:spacing w:after="120"/>
        <w:ind w:left="576"/>
      </w:pPr>
      <w:r>
        <w:rPr>
          <w:rFonts w:ascii="Courier New" w:hAnsi="Courier New"/>
          <w:color w:val="C7254E"/>
          <w:sz w:val="20"/>
        </w:rPr>
        <w:t>Connect to Live Data &gt; SAP OData Services</w:t>
      </w:r>
    </w:p>
    <w:p>
      <w:pPr>
        <w:spacing w:after="120"/>
      </w:pPr>
      <w:r>
        <w:t>o bien:</w:t>
      </w:r>
    </w:p>
    <w:p>
      <w:pPr>
        <w:spacing w:after="120"/>
        <w:ind w:left="576"/>
      </w:pPr>
      <w:r>
        <w:rPr>
          <w:rFonts w:ascii="Courier New" w:hAnsi="Courier New"/>
          <w:color w:val="C7254E"/>
          <w:sz w:val="20"/>
        </w:rPr>
        <w:t>Import Data &gt; OData Services</w:t>
      </w:r>
    </w:p>
    <w:p>
      <w:pPr>
        <w:spacing w:after="120"/>
        <w:ind w:left="576"/>
      </w:pPr>
      <w:r>
        <w:rPr>
          <w:i/>
          <w:color w:val="555555"/>
        </w:rPr>
        <w:t>Elegir Live para análisis en tiempo real sin importación, o Import para replicar datos en SAC.</w:t>
      </w:r>
    </w:p>
    <w:p>
      <w:pPr>
        <w:pStyle w:val="ListBullet"/>
        <w:spacing w:after="60"/>
        <w:ind w:left="360"/>
      </w:pPr>
      <w:r>
        <w:t>Hacer clic en Next.</w:t>
      </w:r>
    </w:p>
    <w:p>
      <w:pPr>
        <w:pStyle w:val="Heading2"/>
      </w:pPr>
      <w:r>
        <w:rPr>
          <w:color w:val="1A1A1A"/>
          <w:sz w:val="26"/>
        </w:rPr>
        <w:t>Paso 5.3 — Configurar parámetros de conexión (On-Premise)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6DB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669"/>
            <w:shd w:val="clear" w:color="auto" w:fill="006DB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402"/>
            <w:shd w:val="clear" w:color="auto" w:fill="EAF4FB"/>
          </w:tcPr>
          <w:p>
            <w:r>
              <w:rPr>
                <w:sz w:val="20"/>
              </w:rPr>
              <w:t>Connection Name</w:t>
            </w:r>
          </w:p>
        </w:tc>
        <w:tc>
          <w:tcPr>
            <w:tcW w:type="dxa" w:w="5669"/>
            <w:shd w:val="clear" w:color="auto" w:fill="EAF4FB"/>
          </w:tcPr>
          <w:p>
            <w:r>
              <w:rPr>
                <w:sz w:val="20"/>
              </w:rPr>
              <w:t>CON_VENTAS_DEV (incluir ambiente en el nombre)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Conexión OData servicio de ventas - Ambiente DEV</w:t>
            </w:r>
          </w:p>
        </w:tc>
      </w:tr>
      <w:tr>
        <w:tc>
          <w:tcPr>
            <w:tcW w:type="dxa" w:w="3402"/>
            <w:shd w:val="clear" w:color="auto" w:fill="EAF4FB"/>
          </w:tcPr>
          <w:p>
            <w:r>
              <w:rPr>
                <w:sz w:val="20"/>
              </w:rPr>
              <w:t>Connection Type</w:t>
            </w:r>
          </w:p>
        </w:tc>
        <w:tc>
          <w:tcPr>
            <w:tcW w:type="dxa" w:w="5669"/>
            <w:shd w:val="clear" w:color="auto" w:fill="EAF4FB"/>
          </w:tcPr>
          <w:p>
            <w:r>
              <w:rPr>
                <w:sz w:val="20"/>
              </w:rPr>
              <w:t>On-Premise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Host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Virtual host configurado en SCC (ej. sapdev-virtual)</w:t>
            </w:r>
          </w:p>
        </w:tc>
      </w:tr>
      <w:tr>
        <w:tc>
          <w:tcPr>
            <w:tcW w:type="dxa" w:w="3402"/>
            <w:shd w:val="clear" w:color="auto" w:fill="EAF4FB"/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5669"/>
            <w:shd w:val="clear" w:color="auto" w:fill="EAF4FB"/>
          </w:tcPr>
          <w:p>
            <w:r>
              <w:rPr>
                <w:sz w:val="20"/>
              </w:rPr>
              <w:t>44300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Mandante SAP (ej. 100)</w:t>
            </w:r>
          </w:p>
        </w:tc>
      </w:tr>
      <w:tr>
        <w:tc>
          <w:tcPr>
            <w:tcW w:type="dxa" w:w="3402"/>
            <w:shd w:val="clear" w:color="auto" w:fill="EAF4FB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5669"/>
            <w:shd w:val="clear" w:color="auto" w:fill="EAF4FB"/>
          </w:tcPr>
          <w:p>
            <w:r>
              <w:rPr>
                <w:sz w:val="20"/>
              </w:rPr>
              <w:t>ES (o EN)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Authentication Method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User Name and Password</w:t>
            </w:r>
          </w:p>
        </w:tc>
      </w:tr>
      <w:tr>
        <w:tc>
          <w:tcPr>
            <w:tcW w:type="dxa" w:w="3402"/>
            <w:shd w:val="clear" w:color="auto" w:fill="EAF4FB"/>
          </w:tcPr>
          <w:p>
            <w:r>
              <w:rPr>
                <w:sz w:val="20"/>
              </w:rPr>
              <w:t>User Name</w:t>
            </w:r>
          </w:p>
        </w:tc>
        <w:tc>
          <w:tcPr>
            <w:tcW w:type="dxa" w:w="5669"/>
            <w:shd w:val="clear" w:color="auto" w:fill="EAF4FB"/>
          </w:tcPr>
          <w:p>
            <w:r>
              <w:rPr>
                <w:sz w:val="20"/>
              </w:rPr>
              <w:t>Usuario técnico (ej. SAC_TECH_USER)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Contraseña del usuario técnico</w:t>
            </w:r>
          </w:p>
        </w:tc>
      </w:tr>
    </w:tbl>
    <w:p/>
    <w:p>
      <w:pPr>
        <w:pStyle w:val="Heading2"/>
      </w:pPr>
      <w:r>
        <w:rPr>
          <w:color w:val="1A1A1A"/>
          <w:sz w:val="26"/>
        </w:rPr>
        <w:t>Paso 5.3 — Configurar parámetros de conexión (Cloud / Internet)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6DB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669"/>
            <w:shd w:val="clear" w:color="auto" w:fill="006DB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402"/>
            <w:shd w:val="clear" w:color="auto" w:fill="EAF4FB"/>
          </w:tcPr>
          <w:p>
            <w:r>
              <w:rPr>
                <w:sz w:val="20"/>
              </w:rPr>
              <w:t>Connection Name</w:t>
            </w:r>
          </w:p>
        </w:tc>
        <w:tc>
          <w:tcPr>
            <w:tcW w:type="dxa" w:w="5669"/>
            <w:shd w:val="clear" w:color="auto" w:fill="EAF4FB"/>
          </w:tcPr>
          <w:p>
            <w:r>
              <w:rPr>
                <w:sz w:val="20"/>
              </w:rPr>
              <w:t>CON_VENTAS_DEV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Connection Type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Internet</w:t>
            </w:r>
          </w:p>
        </w:tc>
      </w:tr>
      <w:tr>
        <w:tc>
          <w:tcPr>
            <w:tcW w:type="dxa" w:w="3402"/>
            <w:shd w:val="clear" w:color="auto" w:fill="EAF4FB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5669"/>
            <w:shd w:val="clear" w:color="auto" w:fill="EAF4FB"/>
          </w:tcPr>
          <w:p>
            <w:r>
              <w:rPr>
                <w:sz w:val="20"/>
              </w:rPr>
              <w:t>https://sapdev.empresa.com:44300/sap/opu/odata/sap/ZVENTAS_SRV/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Authentication Method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Basic Authentication o OAuth 2.0</w:t>
            </w:r>
          </w:p>
        </w:tc>
      </w:tr>
      <w:tr>
        <w:tc>
          <w:tcPr>
            <w:tcW w:type="dxa" w:w="3402"/>
            <w:shd w:val="clear" w:color="auto" w:fill="EAF4FB"/>
          </w:tcPr>
          <w:p>
            <w:r>
              <w:rPr>
                <w:sz w:val="20"/>
              </w:rPr>
              <w:t>User Name</w:t>
            </w:r>
          </w:p>
        </w:tc>
        <w:tc>
          <w:tcPr>
            <w:tcW w:type="dxa" w:w="5669"/>
            <w:shd w:val="clear" w:color="auto" w:fill="EAF4FB"/>
          </w:tcPr>
          <w:p>
            <w:r>
              <w:rPr>
                <w:sz w:val="20"/>
              </w:rPr>
              <w:t>Usuario técnico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Contraseña</w:t>
            </w:r>
          </w:p>
        </w:tc>
      </w:tr>
    </w:tbl>
    <w:p/>
    <w:p>
      <w:pPr>
        <w:pStyle w:val="Heading2"/>
      </w:pPr>
      <w:r>
        <w:rPr>
          <w:color w:val="1A1A1A"/>
          <w:sz w:val="26"/>
        </w:rPr>
        <w:t>Paso 5.4 — Validar y guardar la conexión</w:t>
      </w:r>
    </w:p>
    <w:p>
      <w:pPr>
        <w:pStyle w:val="ListBullet"/>
        <w:spacing w:after="60"/>
        <w:ind w:left="360"/>
      </w:pPr>
      <w:r>
        <w:t>Hacer clic en Test Connection para verificar la conectividad.</w:t>
      </w:r>
    </w:p>
    <w:p>
      <w:pPr>
        <w:pStyle w:val="ListBullet"/>
        <w:spacing w:after="60"/>
        <w:ind w:left="360"/>
      </w:pPr>
      <w:r>
        <w:t>Si el test es exitoso (mensaje verde: "Connection tested successfully"), hacer clic en Create.</w:t>
      </w:r>
    </w:p>
    <w:p>
      <w:pPr>
        <w:pStyle w:val="ListBullet"/>
        <w:spacing w:after="60"/>
        <w:ind w:left="360"/>
      </w:pPr>
      <w:r>
        <w:t>La conexión aparecerá en el listado con estado OK.</w:t>
      </w:r>
    </w:p>
    <w:p>
      <w:r>
        <w:br w:type="page"/>
      </w:r>
    </w:p>
    <w:p>
      <w:pPr>
        <w:pStyle w:val="Heading1"/>
      </w:pPr>
      <w:r>
        <w:rPr>
          <w:color w:val="006DBB"/>
          <w:sz w:val="32"/>
        </w:rPr>
        <w:t>6. Conectar entre Diferentes Ambientes (DEV / QAS / PRD)</w:t>
      </w:r>
    </w:p>
    <w:p>
      <w:pPr>
        <w:pStyle w:val="Heading2"/>
      </w:pPr>
      <w:r>
        <w:rPr>
          <w:color w:val="1A1A1A"/>
          <w:sz w:val="26"/>
        </w:rPr>
        <w:t>Paso 6.1 — Nomenclatura recomendada</w:t>
      </w:r>
    </w:p>
    <w:p>
      <w:pPr>
        <w:spacing w:after="120"/>
      </w:pPr>
      <w:r>
        <w:t>Usar el patrón:</w:t>
      </w:r>
    </w:p>
    <w:p>
      <w:pPr>
        <w:spacing w:after="120"/>
        <w:ind w:left="576"/>
      </w:pPr>
      <w:r>
        <w:rPr>
          <w:rFonts w:ascii="Courier New" w:hAnsi="Courier New"/>
          <w:color w:val="C7254E"/>
          <w:sz w:val="20"/>
        </w:rPr>
        <w:t>CON_&lt;SISTEMA&gt;_&lt;AMBIENTE&gt;</w:t>
      </w:r>
    </w:p>
    <w:p>
      <w:pPr>
        <w:spacing w:after="120"/>
      </w:pPr>
      <w:r>
        <w:t>Ejemplos: CON_S4H_VENTAS_DEV | CON_S4H_VENTAS_QAS | CON_S4H_VENTAS_PRD</w:t>
      </w:r>
    </w:p>
    <w:p>
      <w:pPr>
        <w:pStyle w:val="Heading2"/>
      </w:pPr>
      <w:r>
        <w:rPr>
          <w:color w:val="1A1A1A"/>
          <w:sz w:val="26"/>
        </w:rPr>
        <w:t>Paso 6.2 — Parámetros por ambiente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color="auto" w:fill="006DB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438"/>
            <w:shd w:val="clear" w:color="auto" w:fill="006DB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DEV</w:t>
            </w:r>
          </w:p>
        </w:tc>
        <w:tc>
          <w:tcPr>
            <w:tcW w:type="dxa" w:w="2438"/>
            <w:shd w:val="clear" w:color="auto" w:fill="006DB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QAS</w:t>
            </w:r>
          </w:p>
        </w:tc>
        <w:tc>
          <w:tcPr>
            <w:tcW w:type="dxa" w:w="2438"/>
            <w:shd w:val="clear" w:color="auto" w:fill="006DB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PRD</w:t>
            </w:r>
          </w:p>
        </w:tc>
      </w:tr>
      <w:tr>
        <w:tc>
          <w:tcPr>
            <w:tcW w:type="dxa" w:w="2835"/>
            <w:shd w:val="clear" w:color="auto" w:fill="EAF4FB"/>
          </w:tcPr>
          <w:p>
            <w:r>
              <w:rPr>
                <w:sz w:val="20"/>
              </w:rPr>
              <w:t>Connection Name</w:t>
            </w:r>
          </w:p>
        </w:tc>
        <w:tc>
          <w:tcPr>
            <w:tcW w:type="dxa" w:w="2438"/>
            <w:shd w:val="clear" w:color="auto" w:fill="EAF4FB"/>
          </w:tcPr>
          <w:p>
            <w:r>
              <w:rPr>
                <w:sz w:val="20"/>
              </w:rPr>
              <w:t>CON_S4H_DEV</w:t>
            </w:r>
          </w:p>
        </w:tc>
        <w:tc>
          <w:tcPr>
            <w:tcW w:type="dxa" w:w="2438"/>
            <w:shd w:val="clear" w:color="auto" w:fill="EAF4FB"/>
          </w:tcPr>
          <w:p>
            <w:r>
              <w:rPr>
                <w:sz w:val="20"/>
              </w:rPr>
              <w:t>CON_S4H_QAS</w:t>
            </w:r>
          </w:p>
        </w:tc>
        <w:tc>
          <w:tcPr>
            <w:tcW w:type="dxa" w:w="2438"/>
            <w:shd w:val="clear" w:color="auto" w:fill="EAF4FB"/>
          </w:tcPr>
          <w:p>
            <w:r>
              <w:rPr>
                <w:sz w:val="20"/>
              </w:rPr>
              <w:t>CON_S4H_PRD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Host (SCC Virtual)</w:t>
            </w:r>
          </w:p>
        </w:tc>
        <w:tc>
          <w:tcPr>
            <w:tcW w:type="dxa" w:w="2438"/>
            <w:shd w:val="clear" w:color="auto" w:fill="FFFFFF"/>
          </w:tcPr>
          <w:p>
            <w:r>
              <w:rPr>
                <w:sz w:val="20"/>
              </w:rPr>
              <w:t>s4h-dev-virtual</w:t>
            </w:r>
          </w:p>
        </w:tc>
        <w:tc>
          <w:tcPr>
            <w:tcW w:type="dxa" w:w="2438"/>
            <w:shd w:val="clear" w:color="auto" w:fill="FFFFFF"/>
          </w:tcPr>
          <w:p>
            <w:r>
              <w:rPr>
                <w:sz w:val="20"/>
              </w:rPr>
              <w:t>s4h-qas-virtual</w:t>
            </w:r>
          </w:p>
        </w:tc>
        <w:tc>
          <w:tcPr>
            <w:tcW w:type="dxa" w:w="2438"/>
            <w:shd w:val="clear" w:color="auto" w:fill="FFFFFF"/>
          </w:tcPr>
          <w:p>
            <w:r>
              <w:rPr>
                <w:sz w:val="20"/>
              </w:rPr>
              <w:t>s4h-prd-virtual</w:t>
            </w:r>
          </w:p>
        </w:tc>
      </w:tr>
      <w:tr>
        <w:tc>
          <w:tcPr>
            <w:tcW w:type="dxa" w:w="2835"/>
            <w:shd w:val="clear" w:color="auto" w:fill="EAF4FB"/>
          </w:tcPr>
          <w:p>
            <w:r>
              <w:rPr>
                <w:sz w:val="20"/>
              </w:rPr>
              <w:t>SAP Client</w:t>
            </w:r>
          </w:p>
        </w:tc>
        <w:tc>
          <w:tcPr>
            <w:tcW w:type="dxa" w:w="2438"/>
            <w:shd w:val="clear" w:color="auto" w:fill="EAF4FB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38"/>
            <w:shd w:val="clear" w:color="auto" w:fill="EAF4FB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38"/>
            <w:shd w:val="clear" w:color="auto" w:fill="EAF4FB"/>
          </w:tcPr>
          <w:p>
            <w:r>
              <w:rPr>
                <w:sz w:val="20"/>
              </w:rPr>
              <w:t>300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438"/>
            <w:shd w:val="clear" w:color="auto" w:fill="FFFFFF"/>
          </w:tcPr>
          <w:p>
            <w:r>
              <w:rPr>
                <w:sz w:val="20"/>
              </w:rPr>
              <w:t>SAC_TECH_DEV</w:t>
            </w:r>
          </w:p>
        </w:tc>
        <w:tc>
          <w:tcPr>
            <w:tcW w:type="dxa" w:w="2438"/>
            <w:shd w:val="clear" w:color="auto" w:fill="FFFFFF"/>
          </w:tcPr>
          <w:p>
            <w:r>
              <w:rPr>
                <w:sz w:val="20"/>
              </w:rPr>
              <w:t>SAC_TECH_QAS</w:t>
            </w:r>
          </w:p>
        </w:tc>
        <w:tc>
          <w:tcPr>
            <w:tcW w:type="dxa" w:w="2438"/>
            <w:shd w:val="clear" w:color="auto" w:fill="FFFFFF"/>
          </w:tcPr>
          <w:p>
            <w:r>
              <w:rPr>
                <w:sz w:val="20"/>
              </w:rPr>
              <w:t>SAC_TECH_PRD</w:t>
            </w:r>
          </w:p>
        </w:tc>
      </w:tr>
    </w:tbl>
    <w:p/>
    <w:p>
      <w:pPr>
        <w:pStyle w:val="Heading2"/>
      </w:pPr>
      <w:r>
        <w:rPr>
          <w:color w:val="1A1A1A"/>
          <w:sz w:val="26"/>
        </w:rPr>
        <w:t>Paso 6.3 — Estrategia de tenants SAC</w:t>
      </w:r>
    </w:p>
    <w:p>
      <w:pPr>
        <w:spacing w:after="120"/>
      </w:pPr>
      <w:r>
        <w:t>SAP recomienda un tenant SAC por ambiente para separación total:</w:t>
      </w:r>
    </w:p>
    <w:p>
      <w:pPr>
        <w:spacing w:after="120"/>
        <w:ind w:left="576"/>
      </w:pPr>
      <w:r>
        <w:rPr>
          <w:rFonts w:ascii="Courier New" w:hAnsi="Courier New"/>
          <w:color w:val="C7254E"/>
          <w:sz w:val="20"/>
        </w:rPr>
        <w:t>SAC Tenant DEV  ──── OData ────►  S/4HANA DEV</w:t>
        <w:br/>
        <w:t>SAC Tenant QAS  ──── OData ────►  S/4HANA QAS</w:t>
        <w:br/>
        <w:t>SAC Tenant PRD  ──── OData ────►  S/4HANA PRD</w:t>
      </w:r>
    </w:p>
    <w:p>
      <w:pPr>
        <w:spacing w:after="120"/>
      </w:pPr>
      <w:r>
        <w:t>Si se usa un único tenant SAC con múltiples backends, se crean varias conexiones en el mismo tenant:</w:t>
      </w:r>
    </w:p>
    <w:p>
      <w:pPr>
        <w:spacing w:after="120"/>
        <w:ind w:left="576"/>
      </w:pPr>
      <w:r>
        <w:rPr>
          <w:rFonts w:ascii="Courier New" w:hAnsi="Courier New"/>
          <w:color w:val="C7254E"/>
          <w:sz w:val="20"/>
        </w:rPr>
        <w:t>SAC Tenant PRD ─── CON_S4H_DEV ───► S/4HANA DEV</w:t>
        <w:br/>
        <w:t xml:space="preserve">               ─── CON_S4H_QAS ───► S/4HANA QAS</w:t>
        <w:br/>
        <w:t xml:space="preserve">               ─── CON_S4H_PRD ───► S/4HANA PRD</w:t>
      </w:r>
    </w:p>
    <w:p>
      <w:r>
        <w:br w:type="page"/>
      </w:r>
    </w:p>
    <w:p>
      <w:pPr>
        <w:pStyle w:val="Heading1"/>
      </w:pPr>
      <w:r>
        <w:rPr>
          <w:color w:val="006DBB"/>
          <w:sz w:val="32"/>
        </w:rPr>
        <w:t>7. Crear un Modelo desde la Conexión OData</w:t>
      </w:r>
    </w:p>
    <w:p>
      <w:pPr>
        <w:pStyle w:val="Heading2"/>
      </w:pPr>
      <w:r>
        <w:rPr>
          <w:color w:val="1A1A1A"/>
          <w:sz w:val="26"/>
        </w:rPr>
        <w:t>Paso 7.1 — Nuevo modelo de adquisición de datos</w:t>
      </w:r>
    </w:p>
    <w:p>
      <w:pPr>
        <w:pStyle w:val="ListBullet"/>
        <w:spacing w:after="60"/>
        <w:ind w:left="360"/>
      </w:pPr>
      <w:r>
        <w:t>En SAC, ir a Modeler &gt; New Model.</w:t>
      </w:r>
    </w:p>
    <w:p>
      <w:pPr>
        <w:pStyle w:val="ListBullet"/>
        <w:spacing w:after="60"/>
        <w:ind w:left="360"/>
      </w:pPr>
      <w:r>
        <w:t>Seleccionar Get data from a data source.</w:t>
      </w:r>
    </w:p>
    <w:p>
      <w:pPr>
        <w:pStyle w:val="ListBullet"/>
        <w:spacing w:after="60"/>
        <w:ind w:left="360"/>
      </w:pPr>
      <w:r>
        <w:t>En el buscador, seleccionar la conexión OData creada (ej. CON_S4H_VENTAS_DEV).</w:t>
      </w:r>
    </w:p>
    <w:p>
      <w:pPr>
        <w:pStyle w:val="Heading2"/>
      </w:pPr>
      <w:r>
        <w:rPr>
          <w:color w:val="1A1A1A"/>
          <w:sz w:val="26"/>
        </w:rPr>
        <w:t>Paso 7.2 — Seleccionar el EntitySet</w:t>
      </w:r>
    </w:p>
    <w:p>
      <w:pPr>
        <w:pStyle w:val="ListBullet"/>
        <w:spacing w:after="60"/>
        <w:ind w:left="360"/>
      </w:pPr>
      <w:r>
        <w:t>SAC mostrará los EntitySets disponibles del servicio OData.</w:t>
      </w:r>
    </w:p>
    <w:p>
      <w:pPr>
        <w:pStyle w:val="ListBullet"/>
        <w:spacing w:after="60"/>
        <w:ind w:left="360"/>
      </w:pPr>
      <w:r>
        <w:t>Seleccionar el EntitySet deseado (ej. VentasSet, PedidosSet).</w:t>
      </w:r>
    </w:p>
    <w:p>
      <w:pPr>
        <w:pStyle w:val="ListBullet"/>
        <w:spacing w:after="60"/>
        <w:ind w:left="360"/>
      </w:pPr>
      <w:r>
        <w:t>Previsualizar los datos y verificar que las columnas sean correctas.</w:t>
      </w:r>
    </w:p>
    <w:p>
      <w:pPr>
        <w:pStyle w:val="Heading2"/>
      </w:pPr>
      <w:r>
        <w:rPr>
          <w:color w:val="1A1A1A"/>
          <w:sz w:val="26"/>
        </w:rPr>
        <w:t>Paso 7.3 — Configurar el mapeo de campos</w:t>
      </w:r>
    </w:p>
    <w:p>
      <w:pPr>
        <w:pStyle w:val="ListBullet"/>
        <w:spacing w:after="60"/>
        <w:ind w:left="360"/>
      </w:pPr>
      <w:r>
        <w:t>Dimension: campos de texto, fecha, ID.</w:t>
      </w:r>
    </w:p>
    <w:p>
      <w:pPr>
        <w:pStyle w:val="ListBullet"/>
        <w:spacing w:after="60"/>
        <w:ind w:left="360"/>
      </w:pPr>
      <w:r>
        <w:t>Measure: campos numéricos (importes, cantidades).</w:t>
      </w:r>
    </w:p>
    <w:p>
      <w:pPr>
        <w:pStyle w:val="ListBullet"/>
        <w:spacing w:after="60"/>
        <w:ind w:left="360"/>
      </w:pPr>
      <w:r>
        <w:t>Configurar el campo de Date para análisis temporal.</w:t>
      </w:r>
    </w:p>
    <w:p>
      <w:pPr>
        <w:pStyle w:val="Heading2"/>
      </w:pPr>
      <w:r>
        <w:rPr>
          <w:color w:val="1A1A1A"/>
          <w:sz w:val="26"/>
        </w:rPr>
        <w:t>Paso 7.4 — Guardar el modelo</w:t>
      </w:r>
    </w:p>
    <w:p>
      <w:pPr>
        <w:pStyle w:val="ListBullet"/>
        <w:spacing w:after="60"/>
        <w:ind w:left="360"/>
      </w:pPr>
      <w:r>
        <w:t>Asignar nombre descriptivo: MDL_VENTAS_DEV.</w:t>
      </w:r>
    </w:p>
    <w:p>
      <w:pPr>
        <w:pStyle w:val="ListBullet"/>
        <w:spacing w:after="60"/>
        <w:ind w:left="360"/>
      </w:pPr>
      <w:r>
        <w:t>Seleccionar la carpeta de destino.</w:t>
      </w:r>
    </w:p>
    <w:p>
      <w:pPr>
        <w:pStyle w:val="ListBullet"/>
        <w:spacing w:after="60"/>
        <w:ind w:left="360"/>
      </w:pPr>
      <w:r>
        <w:t>Hacer clic en Create Model.</w:t>
      </w:r>
    </w:p>
    <w:p>
      <w:pPr>
        <w:pStyle w:val="Heading1"/>
      </w:pPr>
      <w:r>
        <w:rPr>
          <w:color w:val="006DBB"/>
          <w:sz w:val="32"/>
        </w:rPr>
        <w:t>8. Transporte de Conexiones entre Ambientes SAC</w:t>
      </w:r>
    </w:p>
    <w:p>
      <w:pPr>
        <w:pStyle w:val="Heading2"/>
      </w:pPr>
      <w:r>
        <w:rPr>
          <w:color w:val="1A1A1A"/>
          <w:sz w:val="26"/>
        </w:rPr>
        <w:t>Opción A — Exportar/Importar manualmente</w:t>
      </w:r>
    </w:p>
    <w:p>
      <w:pPr>
        <w:pStyle w:val="ListBullet"/>
        <w:spacing w:after="60"/>
        <w:ind w:left="360"/>
      </w:pPr>
      <w:r>
        <w:t>En System &gt; Administration &gt; Connections, seleccionar la conexión.</w:t>
      </w:r>
    </w:p>
    <w:p>
      <w:pPr>
        <w:pStyle w:val="ListBullet"/>
        <w:spacing w:after="60"/>
        <w:ind w:left="360"/>
      </w:pPr>
      <w:r>
        <w:t>Hacer clic en Export (ícono de descarga) → descarga un archivo .json.</w:t>
      </w:r>
    </w:p>
    <w:p>
      <w:pPr>
        <w:pStyle w:val="ListBullet"/>
        <w:spacing w:after="60"/>
        <w:ind w:left="360"/>
      </w:pPr>
      <w:r>
        <w:t>En el ambiente destino, ir a Connections &gt; Import y subir el .json.</w:t>
      </w:r>
    </w:p>
    <w:p>
      <w:pPr>
        <w:pStyle w:val="ListBullet"/>
        <w:spacing w:after="60"/>
        <w:ind w:left="360"/>
      </w:pPr>
      <w:r>
        <w:t>Actualizar las credenciales y el host del nuevo ambiente.</w:t>
      </w:r>
    </w:p>
    <w:p>
      <w:pPr>
        <w:pStyle w:val="Heading2"/>
      </w:pPr>
      <w:r>
        <w:rPr>
          <w:color w:val="1A1A1A"/>
          <w:sz w:val="26"/>
        </w:rPr>
        <w:t>Opción B — SAC Transport (Lifecycle Management)</w:t>
      </w:r>
    </w:p>
    <w:p>
      <w:pPr>
        <w:pStyle w:val="ListBullet"/>
        <w:spacing w:after="60"/>
        <w:ind w:left="360"/>
      </w:pPr>
      <w:r>
        <w:t>Ir a System &gt; Administration &gt; Transport.</w:t>
      </w:r>
    </w:p>
    <w:p>
      <w:pPr>
        <w:pStyle w:val="ListBullet"/>
        <w:spacing w:after="60"/>
        <w:ind w:left="360"/>
      </w:pPr>
      <w:r>
        <w:t>Crear un paquete de transporte seleccionando las conexiones a mover.</w:t>
      </w:r>
    </w:p>
    <w:p>
      <w:pPr>
        <w:pStyle w:val="ListBullet"/>
        <w:spacing w:after="60"/>
        <w:ind w:left="360"/>
      </w:pPr>
      <w:r>
        <w:t>Exportar hacia el tenant destino (QAS o PRD).</w:t>
      </w:r>
    </w:p>
    <w:p>
      <w:pPr>
        <w:pStyle w:val="ListBullet"/>
        <w:spacing w:after="60"/>
        <w:ind w:left="360"/>
      </w:pPr>
      <w:r>
        <w:t>En el tenant destino, ir a Transport &gt; Import y aceptar el paquete.</w:t>
      </w:r>
    </w:p>
    <w:p>
      <w:pPr>
        <w:pStyle w:val="ListBullet"/>
        <w:spacing w:after="60"/>
        <w:ind w:left="360"/>
      </w:pPr>
      <w:r>
        <w:t>Actualizar credenciales manualmente (las contraseñas no se transportan por seguridad).</w:t>
      </w:r>
    </w:p>
    <w:p>
      <w:r>
        <w:br w:type="page"/>
      </w:r>
    </w:p>
    <w:p>
      <w:pPr>
        <w:pStyle w:val="Heading1"/>
      </w:pPr>
      <w:r>
        <w:rPr>
          <w:color w:val="006DBB"/>
          <w:sz w:val="32"/>
        </w:rPr>
        <w:t>9. Verificación y Pruebas</w:t>
      </w:r>
    </w:p>
    <w:p>
      <w:pPr>
        <w:pStyle w:val="Heading2"/>
      </w:pPr>
      <w:r>
        <w:rPr>
          <w:color w:val="1A1A1A"/>
          <w:sz w:val="26"/>
        </w:rPr>
        <w:t>Paso 9.1 — Verificar la conexión</w:t>
      </w:r>
    </w:p>
    <w:p>
      <w:pPr>
        <w:pStyle w:val="ListBullet"/>
        <w:spacing w:after="60"/>
        <w:ind w:left="360"/>
      </w:pPr>
      <w:r>
        <w:t>Ir a System &gt; Administration &gt; Connections.</w:t>
      </w:r>
    </w:p>
    <w:p>
      <w:pPr>
        <w:pStyle w:val="ListBullet"/>
        <w:spacing w:after="60"/>
        <w:ind w:left="360"/>
      </w:pPr>
      <w:r>
        <w:t>Seleccionar la conexión y hacer clic en Validate o Check Connection.</w:t>
      </w:r>
    </w:p>
    <w:p>
      <w:pPr>
        <w:pStyle w:val="ListBullet"/>
        <w:spacing w:after="60"/>
        <w:ind w:left="360"/>
      </w:pPr>
      <w:r>
        <w:t>Estado esperado: Connection is working correctly (ícono verde).</w:t>
      </w:r>
    </w:p>
    <w:p>
      <w:pPr>
        <w:pStyle w:val="Heading2"/>
      </w:pPr>
      <w:r>
        <w:rPr>
          <w:color w:val="1A1A1A"/>
          <w:sz w:val="26"/>
        </w:rPr>
        <w:t>Paso 9.2 — Verificar datos en el modelo</w:t>
      </w:r>
    </w:p>
    <w:p>
      <w:pPr>
        <w:pStyle w:val="ListBullet"/>
        <w:spacing w:after="60"/>
        <w:ind w:left="360"/>
      </w:pPr>
      <w:r>
        <w:t>Abrir el modelo creado en el Modeler.</w:t>
      </w:r>
    </w:p>
    <w:p>
      <w:pPr>
        <w:pStyle w:val="ListBullet"/>
        <w:spacing w:after="60"/>
        <w:ind w:left="360"/>
      </w:pPr>
      <w:r>
        <w:t>Ir a Data Management &gt; Refresh Data.</w:t>
      </w:r>
    </w:p>
    <w:p>
      <w:pPr>
        <w:pStyle w:val="ListBullet"/>
        <w:spacing w:after="60"/>
        <w:ind w:left="360"/>
      </w:pPr>
      <w:r>
        <w:t>Verificar que los registros se carguen sin errores.</w:t>
      </w:r>
    </w:p>
    <w:p>
      <w:pPr>
        <w:pStyle w:val="ListBullet"/>
        <w:spacing w:after="60"/>
        <w:ind w:left="360"/>
      </w:pPr>
      <w:r>
        <w:t>Revisar el log en Data Management &gt; Job History.</w:t>
      </w:r>
    </w:p>
    <w:p>
      <w:pPr>
        <w:pStyle w:val="Heading2"/>
      </w:pPr>
      <w:r>
        <w:rPr>
          <w:color w:val="1A1A1A"/>
          <w:sz w:val="26"/>
        </w:rPr>
        <w:t>Paso 9.3 — Prueba funcional en historia/dashboard</w:t>
      </w:r>
    </w:p>
    <w:p>
      <w:pPr>
        <w:pStyle w:val="ListBullet"/>
        <w:spacing w:after="60"/>
        <w:ind w:left="360"/>
      </w:pPr>
      <w:r>
        <w:t>Crear una Story de prueba usando el modelo.</w:t>
      </w:r>
    </w:p>
    <w:p>
      <w:pPr>
        <w:pStyle w:val="ListBullet"/>
        <w:spacing w:after="60"/>
        <w:ind w:left="360"/>
      </w:pPr>
      <w:r>
        <w:t>Agregar un gráfico básico (ej. tabla con totales de ventas).</w:t>
      </w:r>
    </w:p>
    <w:p>
      <w:pPr>
        <w:pStyle w:val="ListBullet"/>
        <w:spacing w:after="60"/>
        <w:ind w:left="360"/>
      </w:pPr>
      <w:r>
        <w:t>Verificar que los datos correspondan a lo esperado del sistema origen.</w:t>
      </w:r>
    </w:p>
    <w:p>
      <w:pPr>
        <w:pStyle w:val="Heading1"/>
      </w:pPr>
      <w:r>
        <w:rPr>
          <w:color w:val="006DBB"/>
          <w:sz w:val="32"/>
        </w:rPr>
        <w:t>10. Resolución de Problemas Comunes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6DB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Error</w:t>
            </w:r>
          </w:p>
        </w:tc>
        <w:tc>
          <w:tcPr>
            <w:tcW w:type="dxa" w:w="3118"/>
            <w:shd w:val="clear" w:color="auto" w:fill="006DB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Causa probable</w:t>
            </w:r>
          </w:p>
        </w:tc>
        <w:tc>
          <w:tcPr>
            <w:tcW w:type="dxa" w:w="3969"/>
            <w:shd w:val="clear" w:color="auto" w:fill="006DB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2835"/>
            <w:shd w:val="clear" w:color="auto" w:fill="EAF4FB"/>
          </w:tcPr>
          <w:p>
            <w:r>
              <w:rPr>
                <w:sz w:val="20"/>
              </w:rPr>
              <w:t>Connection failed: Host not reachable</w:t>
            </w:r>
          </w:p>
        </w:tc>
        <w:tc>
          <w:tcPr>
            <w:tcW w:type="dxa" w:w="3118"/>
            <w:shd w:val="clear" w:color="auto" w:fill="EAF4FB"/>
          </w:tcPr>
          <w:p>
            <w:r>
              <w:rPr>
                <w:sz w:val="20"/>
              </w:rPr>
              <w:t>Cloud Connector no conectado o host virtual incorrecto</w:t>
            </w:r>
          </w:p>
        </w:tc>
        <w:tc>
          <w:tcPr>
            <w:tcW w:type="dxa" w:w="3969"/>
            <w:shd w:val="clear" w:color="auto" w:fill="EAF4FB"/>
          </w:tcPr>
          <w:p>
            <w:r>
              <w:rPr>
                <w:sz w:val="20"/>
              </w:rPr>
              <w:t>Verificar SCC: estado Connected, host virtual coincide con configuración en SAC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401 Unauthorized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Credenciales incorrectas o usuario bloqueado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Verificar usuario/contraseña en SAP; desbloquear en SU01</w:t>
            </w:r>
          </w:p>
        </w:tc>
      </w:tr>
      <w:tr>
        <w:tc>
          <w:tcPr>
            <w:tcW w:type="dxa" w:w="2835"/>
            <w:shd w:val="clear" w:color="auto" w:fill="EAF4FB"/>
          </w:tcPr>
          <w:p>
            <w:r>
              <w:rPr>
                <w:sz w:val="20"/>
              </w:rPr>
              <w:t>403 Forbidden</w:t>
            </w:r>
          </w:p>
        </w:tc>
        <w:tc>
          <w:tcPr>
            <w:tcW w:type="dxa" w:w="3118"/>
            <w:shd w:val="clear" w:color="auto" w:fill="EAF4FB"/>
          </w:tcPr>
          <w:p>
            <w:r>
              <w:rPr>
                <w:sz w:val="20"/>
              </w:rPr>
              <w:t>Usuario sin autorización al servicio OData</w:t>
            </w:r>
          </w:p>
        </w:tc>
        <w:tc>
          <w:tcPr>
            <w:tcW w:type="dxa" w:w="3969"/>
            <w:shd w:val="clear" w:color="auto" w:fill="EAF4FB"/>
          </w:tcPr>
          <w:p>
            <w:r>
              <w:rPr>
                <w:sz w:val="20"/>
              </w:rPr>
              <w:t>Asignar roles necesarios en el sistema backend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Service not found (404)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Servicio OData no activo o path incorrecto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Verificar en /IWFND/MAINT_SERVICE que el servicio esté activo</w:t>
            </w:r>
          </w:p>
        </w:tc>
      </w:tr>
      <w:tr>
        <w:tc>
          <w:tcPr>
            <w:tcW w:type="dxa" w:w="2835"/>
            <w:shd w:val="clear" w:color="auto" w:fill="EAF4FB"/>
          </w:tcPr>
          <w:p>
            <w:r>
              <w:rPr>
                <w:sz w:val="20"/>
              </w:rPr>
              <w:t>SSL Certificate error</w:t>
            </w:r>
          </w:p>
        </w:tc>
        <w:tc>
          <w:tcPr>
            <w:tcW w:type="dxa" w:w="3118"/>
            <w:shd w:val="clear" w:color="auto" w:fill="EAF4FB"/>
          </w:tcPr>
          <w:p>
            <w:r>
              <w:rPr>
                <w:sz w:val="20"/>
              </w:rPr>
              <w:t>Certificado no confiable o expirado</w:t>
            </w:r>
          </w:p>
        </w:tc>
        <w:tc>
          <w:tcPr>
            <w:tcW w:type="dxa" w:w="3969"/>
            <w:shd w:val="clear" w:color="auto" w:fill="EAF4FB"/>
          </w:tcPr>
          <w:p>
            <w:r>
              <w:rPr>
                <w:sz w:val="20"/>
              </w:rPr>
              <w:t>Importar certificado en SAC (System &gt; Trusted Certificates)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Timeout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Red lenta o SCC sobrecargado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Revisar métricas del SCC; aumentar timeout en configuración</w:t>
            </w:r>
          </w:p>
        </w:tc>
      </w:tr>
      <w:tr>
        <w:tc>
          <w:tcPr>
            <w:tcW w:type="dxa" w:w="2835"/>
            <w:shd w:val="clear" w:color="auto" w:fill="EAF4FB"/>
          </w:tcPr>
          <w:p>
            <w:r>
              <w:rPr>
                <w:sz w:val="20"/>
              </w:rPr>
              <w:t>No data returned</w:t>
            </w:r>
          </w:p>
        </w:tc>
        <w:tc>
          <w:tcPr>
            <w:tcW w:type="dxa" w:w="3118"/>
            <w:shd w:val="clear" w:color="auto" w:fill="EAF4FB"/>
          </w:tcPr>
          <w:p>
            <w:r>
              <w:rPr>
                <w:sz w:val="20"/>
              </w:rPr>
              <w:t>Filtros OData incorrectos o usuario sin datos</w:t>
            </w:r>
          </w:p>
        </w:tc>
        <w:tc>
          <w:tcPr>
            <w:tcW w:type="dxa" w:w="3969"/>
            <w:shd w:val="clear" w:color="auto" w:fill="EAF4FB"/>
          </w:tcPr>
          <w:p>
            <w:r>
              <w:rPr>
                <w:sz w:val="20"/>
              </w:rPr>
              <w:t>Verificar en el browser del backend que el servicio retorna datos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DBB"/>
          <w:sz w:val="32"/>
        </w:rPr>
        <w:t>11. Buenas Prácticas</w:t>
      </w:r>
    </w:p>
    <w:p>
      <w:pPr>
        <w:spacing w:after="80"/>
      </w:pPr>
      <w:r>
        <w:rPr>
          <w:b/>
          <w:color w:val="006DBB"/>
        </w:rPr>
        <w:t xml:space="preserve">1. </w:t>
      </w:r>
      <w:r>
        <w:rPr>
          <w:b/>
        </w:rPr>
        <w:t xml:space="preserve">Nomenclatura consistente: </w:t>
      </w:r>
      <w:r>
        <w:t>Incluir siempre el ambiente en el nombre de la conexión (_DEV, _QAS, _PRD).</w:t>
      </w:r>
    </w:p>
    <w:p>
      <w:pPr>
        <w:spacing w:after="80"/>
      </w:pPr>
      <w:r>
        <w:rPr>
          <w:b/>
          <w:color w:val="006DBB"/>
        </w:rPr>
        <w:t xml:space="preserve">2. </w:t>
      </w:r>
      <w:r>
        <w:rPr>
          <w:b/>
        </w:rPr>
        <w:t xml:space="preserve">Usuarios técnicos dedicados: </w:t>
      </w:r>
      <w:r>
        <w:t>Nunca usar cuentas personales; crear un usuario de servicio por ambiente y sistema.</w:t>
      </w:r>
    </w:p>
    <w:p>
      <w:pPr>
        <w:spacing w:after="80"/>
      </w:pPr>
      <w:r>
        <w:rPr>
          <w:b/>
          <w:color w:val="006DBB"/>
        </w:rPr>
        <w:t xml:space="preserve">3. </w:t>
      </w:r>
      <w:r>
        <w:rPr>
          <w:b/>
        </w:rPr>
        <w:t xml:space="preserve">Principio de mínimo privilegio: </w:t>
      </w:r>
      <w:r>
        <w:t>Asignar solo los roles y EntitySets necesarios al usuario técnico.</w:t>
      </w:r>
    </w:p>
    <w:p>
      <w:pPr>
        <w:spacing w:after="80"/>
      </w:pPr>
      <w:r>
        <w:rPr>
          <w:b/>
          <w:color w:val="006DBB"/>
        </w:rPr>
        <w:t xml:space="preserve">4. </w:t>
      </w:r>
      <w:r>
        <w:rPr>
          <w:b/>
        </w:rPr>
        <w:t xml:space="preserve">Rotación de contraseñas: </w:t>
      </w:r>
      <w:r>
        <w:t>Establecer política de rotación y actualizar las conexiones en SAC cuando cambien.</w:t>
      </w:r>
    </w:p>
    <w:p>
      <w:pPr>
        <w:spacing w:after="80"/>
      </w:pPr>
      <w:r>
        <w:rPr>
          <w:b/>
          <w:color w:val="006DBB"/>
        </w:rPr>
        <w:t xml:space="preserve">5. </w:t>
      </w:r>
      <w:r>
        <w:rPr>
          <w:b/>
        </w:rPr>
        <w:t xml:space="preserve">Monitoreo: </w:t>
      </w:r>
      <w:r>
        <w:t>Revisar periódicamente el Job History en SAC para detectar fallos en la carga de datos.</w:t>
      </w:r>
    </w:p>
    <w:p>
      <w:pPr>
        <w:spacing w:after="80"/>
      </w:pPr>
      <w:r>
        <w:rPr>
          <w:b/>
          <w:color w:val="006DBB"/>
        </w:rPr>
        <w:t xml:space="preserve">6. </w:t>
      </w:r>
      <w:r>
        <w:rPr>
          <w:b/>
        </w:rPr>
        <w:t xml:space="preserve">Documentar conexiones: </w:t>
      </w:r>
      <w:r>
        <w:t>Mantener un inventario con nombre, sistema origen, ambiente, propietario y fecha de validación.</w:t>
      </w:r>
    </w:p>
    <w:p>
      <w:pPr>
        <w:spacing w:after="80"/>
      </w:pPr>
      <w:r>
        <w:rPr>
          <w:b/>
          <w:color w:val="006DBB"/>
        </w:rPr>
        <w:t xml:space="preserve">7. </w:t>
      </w:r>
      <w:r>
        <w:rPr>
          <w:b/>
        </w:rPr>
        <w:t xml:space="preserve">Separación de tenants: </w:t>
      </w:r>
      <w:r>
        <w:t>En proyectos productivos, usar tenants SAC separados para DEV/QAS/PRD.</w:t>
      </w:r>
    </w:p>
    <w:p>
      <w:pPr>
        <w:spacing w:after="80"/>
      </w:pPr>
      <w:r>
        <w:rPr>
          <w:b/>
          <w:color w:val="006DBB"/>
        </w:rPr>
        <w:t xml:space="preserve">8. </w:t>
      </w:r>
      <w:r>
        <w:rPr>
          <w:b/>
        </w:rPr>
        <w:t xml:space="preserve">Validar antes de transportar: </w:t>
      </w:r>
      <w:r>
        <w:t>Siempre probar la conexión en DEV antes de replicarla en QAS y PRD.</w:t>
      </w:r>
    </w:p>
    <w:p>
      <w:pPr>
        <w:spacing w:after="80"/>
      </w:pPr>
      <w:r>
        <w:rPr>
          <w:b/>
          <w:color w:val="006DBB"/>
        </w:rPr>
        <w:t xml:space="preserve">9. </w:t>
      </w:r>
      <w:r>
        <w:rPr>
          <w:b/>
        </w:rPr>
        <w:t xml:space="preserve">Certificados SSL: </w:t>
      </w:r>
      <w:r>
        <w:t>Usar certificados firmados por una CA reconocida en ambientes productivos.</w:t>
      </w:r>
    </w:p>
    <w:p>
      <w:pPr>
        <w:spacing w:after="80"/>
      </w:pPr>
      <w:r>
        <w:rPr>
          <w:b/>
          <w:color w:val="006DBB"/>
        </w:rPr>
        <w:t xml:space="preserve">10. </w:t>
      </w:r>
      <w:r>
        <w:rPr>
          <w:b/>
        </w:rPr>
        <w:t xml:space="preserve">Paginación OData: </w:t>
      </w:r>
      <w:r>
        <w:t>Para grandes volúmenes, configurar $top y $skip en el servicio o usar paginación del modelo en SAC.</w:t>
      </w:r>
    </w:p>
    <w:p/>
    <w:p>
      <w:pPr>
        <w:jc w:val="center"/>
      </w:pPr>
      <w:r>
        <w:rPr>
          <w:i/>
          <w:color w:val="888888"/>
          <w:sz w:val="18"/>
        </w:rPr>
        <w:t>Guía elaborada para SAP Analytics Cloud (SAC) versión 2024 y superior.</w:t>
        <w:br/>
        <w:t>Válida para conexiones OData hacia SAP S/4HANA, SAP BW/4HANA y sistemas SAP con SAP Gateway habilitado.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