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122"/>
      </w:tblGrid>
      <w:tr>
        <w:tc>
          <w:tcPr>
            <w:tcW w:type="dxa" w:w="9122"/>
            <w:shd w:val="clear" w:color="auto" w:fill="00417A"/>
          </w:tcPr>
          <w:p>
            <w:pPr>
              <w:spacing w:before="280" w:after="280"/>
              <w:jc w:val="center"/>
            </w:pPr>
            <w:r>
              <w:rPr>
                <w:rFonts w:ascii="Calibri" w:hAnsi="Calibri"/>
                <w:b/>
                <w:color w:val="FFFFFF"/>
                <w:sz w:val="40"/>
              </w:rPr>
              <w:t>SAP ANALYTICS CLOUD</w:t>
            </w:r>
            <w:r>
              <w:rPr>
                <w:rFonts w:ascii="Calibri" w:hAnsi="Calibri"/>
                <w:b w:val="0"/>
                <w:color w:val="F0AB00"/>
                <w:sz w:val="26"/>
              </w:rPr>
              <w:br/>
              <w:t>Documento de Diseño de Solución</w:t>
            </w:r>
          </w:p>
        </w:tc>
      </w:tr>
    </w:tbl>
    <w:p/>
    <w:p>
      <w:pPr>
        <w:jc w:val="center"/>
      </w:pPr>
      <w:r>
        <w:rPr>
          <w:rFonts w:ascii="Calibri" w:hAnsi="Calibri"/>
          <w:b/>
          <w:color w:val="00417A"/>
          <w:sz w:val="52"/>
        </w:rPr>
        <w:t>FANALCA S.A.</w:t>
      </w:r>
    </w:p>
    <w:p>
      <w:pPr>
        <w:jc w:val="center"/>
      </w:pPr>
      <w:r>
        <w:rPr>
          <w:rFonts w:ascii="Calibri" w:hAnsi="Calibri"/>
          <w:color w:val="35353A"/>
          <w:sz w:val="26"/>
        </w:rPr>
        <w:t>Implementación SAP Analytics Cloud</w:t>
        <w:br/>
        <w:t>Modelos Financieros y Comerciales</w:t>
      </w:r>
    </w:p>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0417A"/>
          </w:tcPr>
          <w:p>
            <w:pPr>
              <w:jc w:val="left"/>
            </w:pPr>
            <w:r>
              <w:rPr>
                <w:rFonts w:ascii="Calibri" w:hAnsi="Calibri"/>
                <w:b/>
                <w:color w:val="FFFFFF"/>
                <w:sz w:val="18"/>
              </w:rPr>
              <w:t>Versión del Documento</w:t>
            </w:r>
          </w:p>
        </w:tc>
        <w:tc>
          <w:tcPr>
            <w:tcW w:type="dxa" w:w="4561"/>
            <w:shd w:val="clear" w:color="auto" w:fill="F5F5F5"/>
          </w:tcPr>
          <w:p>
            <w:r>
              <w:rPr>
                <w:rFonts w:ascii="Calibri" w:hAnsi="Calibri"/>
                <w:color w:val="35353A"/>
                <w:sz w:val="18"/>
              </w:rPr>
              <w:t>v1.0</w:t>
            </w:r>
          </w:p>
        </w:tc>
      </w:tr>
      <w:tr>
        <w:tc>
          <w:tcPr>
            <w:tcW w:type="dxa" w:w="4561"/>
            <w:shd w:val="clear" w:color="auto" w:fill="00417A"/>
          </w:tcPr>
          <w:p>
            <w:pPr>
              <w:jc w:val="left"/>
            </w:pPr>
            <w:r>
              <w:rPr>
                <w:rFonts w:ascii="Calibri" w:hAnsi="Calibri"/>
                <w:b/>
                <w:color w:val="FFFFFF"/>
                <w:sz w:val="18"/>
              </w:rPr>
              <w:t>Fecha de Creación</w:t>
            </w:r>
          </w:p>
        </w:tc>
        <w:tc>
          <w:tcPr>
            <w:tcW w:type="dxa" w:w="4561"/>
            <w:shd w:val="clear" w:color="auto" w:fill="FFFFFF"/>
          </w:tcPr>
          <w:p>
            <w:r>
              <w:rPr>
                <w:rFonts w:ascii="Calibri" w:hAnsi="Calibri"/>
                <w:color w:val="35353A"/>
                <w:sz w:val="18"/>
              </w:rPr>
              <w:t>05 de Junio de 2026</w:t>
            </w:r>
          </w:p>
        </w:tc>
      </w:tr>
      <w:tr>
        <w:tc>
          <w:tcPr>
            <w:tcW w:type="dxa" w:w="4561"/>
            <w:shd w:val="clear" w:color="auto" w:fill="00417A"/>
          </w:tcPr>
          <w:p>
            <w:pPr>
              <w:jc w:val="left"/>
            </w:pPr>
            <w:r>
              <w:rPr>
                <w:rFonts w:ascii="Calibri" w:hAnsi="Calibri"/>
                <w:b/>
                <w:color w:val="FFFFFF"/>
                <w:sz w:val="18"/>
              </w:rPr>
              <w:t>Estado</w:t>
            </w:r>
          </w:p>
        </w:tc>
        <w:tc>
          <w:tcPr>
            <w:tcW w:type="dxa" w:w="4561"/>
            <w:shd w:val="clear" w:color="auto" w:fill="F5F5F5"/>
          </w:tcPr>
          <w:p>
            <w:r>
              <w:rPr>
                <w:rFonts w:ascii="Calibri" w:hAnsi="Calibri"/>
                <w:color w:val="35353A"/>
                <w:sz w:val="18"/>
              </w:rPr>
              <w:t>Borrador para Revisión</w:t>
            </w:r>
          </w:p>
        </w:tc>
      </w:tr>
      <w:tr>
        <w:tc>
          <w:tcPr>
            <w:tcW w:type="dxa" w:w="4561"/>
            <w:shd w:val="clear" w:color="auto" w:fill="00417A"/>
          </w:tcPr>
          <w:p>
            <w:pPr>
              <w:jc w:val="left"/>
            </w:pPr>
            <w:r>
              <w:rPr>
                <w:rFonts w:ascii="Calibri" w:hAnsi="Calibri"/>
                <w:b/>
                <w:color w:val="FFFFFF"/>
                <w:sz w:val="18"/>
              </w:rPr>
              <w:t>Clasificación</w:t>
            </w:r>
          </w:p>
        </w:tc>
        <w:tc>
          <w:tcPr>
            <w:tcW w:type="dxa" w:w="4561"/>
            <w:shd w:val="clear" w:color="auto" w:fill="FFFFFF"/>
          </w:tcPr>
          <w:p>
            <w:r>
              <w:rPr>
                <w:rFonts w:ascii="Calibri" w:hAnsi="Calibri"/>
                <w:color w:val="35353A"/>
                <w:sz w:val="18"/>
              </w:rPr>
              <w:t>Confidencial – Uso Interno</w:t>
            </w:r>
          </w:p>
        </w:tc>
      </w:tr>
      <w:tr>
        <w:tc>
          <w:tcPr>
            <w:tcW w:type="dxa" w:w="4561"/>
            <w:shd w:val="clear" w:color="auto" w:fill="00417A"/>
          </w:tcPr>
          <w:p>
            <w:pPr>
              <w:jc w:val="left"/>
            </w:pPr>
            <w:r>
              <w:rPr>
                <w:rFonts w:ascii="Calibri" w:hAnsi="Calibri"/>
                <w:b/>
                <w:color w:val="FFFFFF"/>
                <w:sz w:val="18"/>
              </w:rPr>
              <w:t>Responsable</w:t>
            </w:r>
          </w:p>
        </w:tc>
        <w:tc>
          <w:tcPr>
            <w:tcW w:type="dxa" w:w="4561"/>
            <w:shd w:val="clear" w:color="auto" w:fill="F5F5F5"/>
          </w:tcPr>
          <w:p>
            <w:r>
              <w:rPr>
                <w:rFonts w:ascii="Calibri" w:hAnsi="Calibri"/>
                <w:color w:val="35353A"/>
                <w:sz w:val="18"/>
              </w:rPr>
              <w:t>Equipo de Implementación SAC</w:t>
            </w:r>
          </w:p>
        </w:tc>
      </w:tr>
    </w:tbl>
    <w:p/>
    <w:p>
      <w:pPr>
        <w:spacing w:before="40" w:after="40"/>
        <w:pBdr>
          <w:bottom w:val="single" w:sz="6" w:color="F0AB00"/>
        </w:pBdr>
      </w:pPr>
    </w:p>
    <w:p>
      <w:r>
        <w:br w:type="page"/>
      </w:r>
    </w:p>
    <w:p>
      <w:pPr>
        <w:jc w:val="center"/>
      </w:pPr>
      <w:r>
        <w:rPr>
          <w:rFonts w:ascii="Calibri" w:hAnsi="Calibri"/>
          <w:b/>
          <w:color w:val="00417A"/>
          <w:sz w:val="28"/>
        </w:rPr>
        <w:t>TABLA DE CONTENIDO</w:t>
      </w:r>
    </w:p>
    <w:p>
      <w:pPr>
        <w:spacing w:before="40" w:after="40"/>
        <w:pBdr>
          <w:bottom w:val="single" w:sz="6" w:color="00417A"/>
        </w:pBdr>
      </w:pPr>
    </w:p>
    <w:p>
      <w:pPr>
        <w:spacing w:before="40" w:after="40"/>
        <w:ind w:left="0"/>
      </w:pPr>
      <w:r>
        <w:rPr>
          <w:b/>
          <w:color w:val="00417A"/>
          <w:sz w:val="20"/>
        </w:rPr>
        <w:t xml:space="preserve">1.  </w:t>
      </w:r>
      <w:r>
        <w:rPr>
          <w:color w:val="35353A"/>
          <w:sz w:val="20"/>
        </w:rPr>
        <w:t>Propósito del documento</w:t>
      </w:r>
      <w:r>
        <w:rPr>
          <w:color w:val="CCCCCC"/>
          <w:sz w:val="18"/>
        </w:rPr>
        <w:t xml:space="preserve"> ............................................. 4</w:t>
      </w:r>
    </w:p>
    <w:p>
      <w:pPr>
        <w:spacing w:before="40" w:after="40"/>
        <w:ind w:left="0"/>
      </w:pPr>
      <w:r>
        <w:rPr>
          <w:b/>
          <w:color w:val="00417A"/>
          <w:sz w:val="20"/>
        </w:rPr>
        <w:t xml:space="preserve">2.  </w:t>
      </w:r>
      <w:r>
        <w:rPr>
          <w:color w:val="35353A"/>
          <w:sz w:val="20"/>
        </w:rPr>
        <w:t>Cómo usar el documento</w:t>
      </w:r>
      <w:r>
        <w:rPr>
          <w:color w:val="CCCCCC"/>
          <w:sz w:val="18"/>
        </w:rPr>
        <w:t xml:space="preserve"> .............................................. 4</w:t>
      </w:r>
    </w:p>
    <w:p>
      <w:pPr>
        <w:spacing w:before="40" w:after="40"/>
        <w:ind w:left="0"/>
      </w:pPr>
      <w:r>
        <w:rPr>
          <w:b/>
          <w:color w:val="00417A"/>
          <w:sz w:val="20"/>
        </w:rPr>
        <w:t xml:space="preserve">3.  </w:t>
      </w:r>
      <w:r>
        <w:rPr>
          <w:color w:val="35353A"/>
          <w:sz w:val="20"/>
        </w:rPr>
        <w:t>Escenario / Proceso de negocio</w:t>
      </w:r>
      <w:r>
        <w:rPr>
          <w:color w:val="CCCCCC"/>
          <w:sz w:val="18"/>
        </w:rPr>
        <w:t xml:space="preserve"> ...................................... 4</w:t>
      </w:r>
    </w:p>
    <w:p>
      <w:pPr>
        <w:spacing w:before="40" w:after="40"/>
        <w:ind w:left="283"/>
      </w:pPr>
      <w:r>
        <w:rPr>
          <w:b/>
          <w:color w:val="00417A"/>
          <w:sz w:val="20"/>
        </w:rPr>
        <w:t xml:space="preserve">3.1.  </w:t>
      </w:r>
      <w:r>
        <w:rPr>
          <w:color w:val="35353A"/>
          <w:sz w:val="20"/>
        </w:rPr>
        <w:t>Objetivos empresariales y beneficios esperados</w:t>
      </w:r>
      <w:r>
        <w:rPr>
          <w:color w:val="CCCCCC"/>
          <w:sz w:val="18"/>
        </w:rPr>
        <w:t xml:space="preserve"> .................... 4</w:t>
      </w:r>
    </w:p>
    <w:p>
      <w:pPr>
        <w:spacing w:before="40" w:after="40"/>
        <w:ind w:left="283"/>
      </w:pPr>
      <w:r>
        <w:rPr>
          <w:b/>
          <w:color w:val="00417A"/>
          <w:sz w:val="20"/>
        </w:rPr>
        <w:t xml:space="preserve">3.2.  </w:t>
      </w:r>
      <w:r>
        <w:rPr>
          <w:color w:val="35353A"/>
          <w:sz w:val="20"/>
        </w:rPr>
        <w:t>Descripción a alto nivel de Requisitos empresariales</w:t>
      </w:r>
      <w:r>
        <w:rPr>
          <w:color w:val="CCCCCC"/>
          <w:sz w:val="18"/>
        </w:rPr>
        <w:t xml:space="preserve"> .............. 4</w:t>
      </w:r>
    </w:p>
    <w:p>
      <w:pPr>
        <w:spacing w:before="40" w:after="40"/>
        <w:ind w:left="0"/>
      </w:pPr>
      <w:r>
        <w:rPr>
          <w:b/>
          <w:color w:val="00417A"/>
          <w:sz w:val="20"/>
        </w:rPr>
        <w:t xml:space="preserve">4.  </w:t>
      </w:r>
      <w:r>
        <w:rPr>
          <w:color w:val="35353A"/>
          <w:sz w:val="20"/>
        </w:rPr>
        <w:t>Estructura organizativa relevante</w:t>
      </w:r>
      <w:r>
        <w:rPr>
          <w:color w:val="CCCCCC"/>
          <w:sz w:val="18"/>
        </w:rPr>
        <w:t xml:space="preserve"> ................................... 5</w:t>
      </w:r>
    </w:p>
    <w:p>
      <w:pPr>
        <w:spacing w:before="40" w:after="40"/>
        <w:ind w:left="0"/>
      </w:pPr>
      <w:r>
        <w:rPr>
          <w:b/>
          <w:color w:val="00417A"/>
          <w:sz w:val="20"/>
        </w:rPr>
        <w:t xml:space="preserve">5.  </w:t>
      </w:r>
      <w:r>
        <w:rPr>
          <w:color w:val="35353A"/>
          <w:sz w:val="20"/>
        </w:rPr>
        <w:t>Diseño y configuración de soluciones</w:t>
      </w:r>
      <w:r>
        <w:rPr>
          <w:color w:val="CCCCCC"/>
          <w:sz w:val="18"/>
        </w:rPr>
        <w:t xml:space="preserve"> ................................ 5</w:t>
      </w:r>
    </w:p>
    <w:p>
      <w:pPr>
        <w:spacing w:before="40" w:after="40"/>
        <w:ind w:left="283"/>
      </w:pPr>
      <w:r>
        <w:rPr>
          <w:b/>
          <w:color w:val="00417A"/>
          <w:sz w:val="20"/>
        </w:rPr>
        <w:t xml:space="preserve">5.1.  </w:t>
      </w:r>
      <w:r>
        <w:rPr>
          <w:color w:val="35353A"/>
          <w:sz w:val="20"/>
        </w:rPr>
        <w:t>Alcance del proceso de solución</w:t>
      </w:r>
      <w:r>
        <w:rPr>
          <w:color w:val="CCCCCC"/>
          <w:sz w:val="18"/>
        </w:rPr>
        <w:t xml:space="preserve"> ................................... 5</w:t>
      </w:r>
    </w:p>
    <w:p>
      <w:pPr>
        <w:spacing w:before="40" w:after="40"/>
        <w:ind w:left="283"/>
      </w:pPr>
      <w:r>
        <w:rPr>
          <w:b/>
          <w:color w:val="00417A"/>
          <w:sz w:val="20"/>
        </w:rPr>
        <w:t xml:space="preserve">5.2.  </w:t>
      </w:r>
      <w:r>
        <w:rPr>
          <w:color w:val="35353A"/>
          <w:sz w:val="20"/>
        </w:rPr>
        <w:t>Valor de Actividad de Configuración</w:t>
      </w:r>
      <w:r>
        <w:rPr>
          <w:color w:val="CCCCCC"/>
          <w:sz w:val="18"/>
        </w:rPr>
        <w:t xml:space="preserve"> ............................... 6</w:t>
      </w:r>
    </w:p>
    <w:p>
      <w:pPr>
        <w:spacing w:before="40" w:after="40"/>
        <w:ind w:left="283"/>
      </w:pPr>
      <w:r>
        <w:rPr>
          <w:b/>
          <w:color w:val="00417A"/>
          <w:sz w:val="20"/>
        </w:rPr>
        <w:t xml:space="preserve">5.3.  </w:t>
      </w:r>
      <w:r>
        <w:rPr>
          <w:color w:val="35353A"/>
          <w:sz w:val="20"/>
        </w:rPr>
        <w:t>Roles</w:t>
      </w:r>
      <w:r>
        <w:rPr>
          <w:color w:val="CCCCCC"/>
          <w:sz w:val="18"/>
        </w:rPr>
        <w:t xml:space="preserve"> ............................................................. 6</w:t>
      </w:r>
    </w:p>
    <w:p>
      <w:pPr>
        <w:spacing w:before="40" w:after="40"/>
        <w:ind w:left="283"/>
      </w:pPr>
      <w:r>
        <w:rPr>
          <w:b/>
          <w:color w:val="00417A"/>
          <w:sz w:val="20"/>
        </w:rPr>
        <w:t xml:space="preserve">5.4.  </w:t>
      </w:r>
      <w:r>
        <w:rPr>
          <w:color w:val="35353A"/>
          <w:sz w:val="20"/>
        </w:rPr>
        <w:t>Inventario de datos maestros susceptibles de migración</w:t>
      </w:r>
      <w:r>
        <w:rPr>
          <w:color w:val="CCCCCC"/>
          <w:sz w:val="18"/>
        </w:rPr>
        <w:t xml:space="preserve"> ............ 6</w:t>
      </w:r>
    </w:p>
    <w:p>
      <w:pPr>
        <w:spacing w:before="40" w:after="40"/>
        <w:ind w:left="283"/>
      </w:pPr>
      <w:r>
        <w:rPr>
          <w:b/>
          <w:color w:val="00417A"/>
          <w:sz w:val="20"/>
        </w:rPr>
        <w:t xml:space="preserve">5.5.  </w:t>
      </w:r>
      <w:r>
        <w:rPr>
          <w:color w:val="35353A"/>
          <w:sz w:val="20"/>
        </w:rPr>
        <w:t>Componente de Solución Técnica Relacionada</w:t>
      </w:r>
      <w:r>
        <w:rPr>
          <w:color w:val="CCCCCC"/>
          <w:sz w:val="18"/>
        </w:rPr>
        <w:t xml:space="preserve"> ........................ 6</w:t>
      </w:r>
    </w:p>
    <w:p>
      <w:r>
        <w:br w:type="page"/>
      </w:r>
    </w:p>
    <w:p>
      <w:pPr>
        <w:spacing w:before="240" w:after="80"/>
        <w:pBdr>
          <w:left w:val="single" w:sz="24" w:color="00417A"/>
        </w:pBdr>
        <w:ind w:left="283"/>
      </w:pPr>
      <w:r>
        <w:rPr>
          <w:rFonts w:ascii="Calibri" w:hAnsi="Calibri"/>
          <w:b/>
          <w:color w:val="F0AB00"/>
          <w:sz w:val="28"/>
        </w:rPr>
        <w:t xml:space="preserve">1.  </w:t>
      </w:r>
      <w:r>
        <w:rPr>
          <w:rFonts w:ascii="Calibri" w:hAnsi="Calibri"/>
          <w:b/>
          <w:color w:val="00417A"/>
          <w:sz w:val="28"/>
        </w:rPr>
        <w:t>Propósito del documento</w:t>
      </w:r>
    </w:p>
    <w:p>
      <w:pPr>
        <w:spacing w:before="40" w:after="40"/>
        <w:pBdr>
          <w:bottom w:val="single" w:sz="6" w:color="00417A"/>
        </w:pBdr>
      </w:pPr>
    </w:p>
    <w:p>
      <w:pPr>
        <w:spacing w:before="60" w:after="60"/>
      </w:pPr>
      <w:r>
        <w:rPr>
          <w:rFonts w:ascii="Calibri" w:hAnsi="Calibri"/>
          <w:color w:val="35353A"/>
          <w:sz w:val="20"/>
        </w:rPr>
        <w:t>El presente documento describe el diseño y la configuración de la solución SAP Analytics Cloud (SAC) implementada para Fanalca S.A., empresa colombiana líder en el sector automotriz, metalmecánico y de distribución de vehículos Honda. Este artefacto constituye el Blueprint de Diseño de Solución del proyecto de implementación, detallando los modelos analíticos, las dimensiones de análisis, las fuentes de datos y los componentes técnicos involucrados.</w:t>
      </w:r>
    </w:p>
    <w:p>
      <w:pPr>
        <w:spacing w:before="60" w:after="60"/>
      </w:pPr>
      <w:r>
        <w:rPr>
          <w:rFonts w:ascii="Calibri" w:hAnsi="Calibri"/>
          <w:color w:val="35353A"/>
          <w:sz w:val="20"/>
        </w:rPr>
        <w:t>El documento cubre los tres modelos centrales del proyecto: Modelo de Ingresos, Modelo de Estados Financieros (EEFF) y Modelo de Costos y Gastos, los cuales soportan la analítica financiera y comercial de las unidades de negocio Metalmecánica, Honda Supermotos y Honda Autos de Fanalca S.A.</w:t>
      </w:r>
    </w:p>
    <w:tbl>
      <w:tblPr>
        <w:tblW w:type="auto" w:w="0"/>
        <w:jc w:val="center"/>
        <w:tblLook w:firstColumn="1" w:firstRow="1" w:lastColumn="0" w:lastRow="0" w:noHBand="0" w:noVBand="1" w:val="04A0"/>
      </w:tblPr>
      <w:tblGrid>
        <w:gridCol w:w="9122"/>
      </w:tblGrid>
      <w:tr>
        <w:tc>
          <w:tcPr>
            <w:tcW w:type="dxa" w:w="9122"/>
            <w:shd w:val="clear" w:color="auto" w:fill="E8F4FD"/>
            <w:tcBorders>
              <w:top w:val="single" w:sz="12" w:color="0070BF"/>
              <w:left w:val="single" w:sz="12" w:color="0070BF"/>
              <w:bottom w:val="single" w:sz="12" w:color="0070BF"/>
              <w:right w:val="single" w:sz="12" w:color="0070BF"/>
            </w:tcBorders>
          </w:tcPr>
          <w:p>
            <w:r>
              <w:rPr>
                <w:rFonts w:ascii="Calibri" w:hAnsi="Calibri"/>
                <w:b/>
                <w:color w:val="0070BF"/>
                <w:sz w:val="20"/>
              </w:rPr>
              <w:t>📌  Alcance del documento:</w:t>
              <w:br/>
            </w:r>
            <w:r>
              <w:rPr>
                <w:rFonts w:ascii="Calibri" w:hAnsi="Calibri"/>
                <w:color w:val="35353A"/>
                <w:sz w:val="19"/>
              </w:rPr>
              <w:t>• Unidades de negocio: Metalmecánica, Honda Supermotos, Honda Autos</w:t>
              <w:br/>
            </w:r>
            <w:r>
              <w:rPr>
                <w:rFonts w:ascii="Calibri" w:hAnsi="Calibri"/>
                <w:color w:val="35353A"/>
                <w:sz w:val="19"/>
              </w:rPr>
              <w:t>• Plataforma: SAP Analytics Cloud (SAC) – Tenencia en la nube SAP BTP</w:t>
              <w:br/>
            </w:r>
            <w:r>
              <w:rPr>
                <w:rFonts w:ascii="Calibri" w:hAnsi="Calibri"/>
                <w:color w:val="35353A"/>
                <w:sz w:val="19"/>
              </w:rPr>
              <w:t>• Período de referencia: Ejercicios fiscales 2024–2026</w:t>
              <w:br/>
            </w:r>
            <w:r>
              <w:rPr>
                <w:rFonts w:ascii="Calibri" w:hAnsi="Calibri"/>
                <w:color w:val="35353A"/>
                <w:sz w:val="19"/>
              </w:rPr>
              <w:t>• Versión de SAC: 2024.Q4 en adelante</w:t>
              <w:br/>
            </w:r>
          </w:p>
        </w:tc>
      </w:tr>
    </w:tbl>
    <w:p/>
    <w:p>
      <w:pPr>
        <w:spacing w:before="240" w:after="80"/>
        <w:pBdr>
          <w:left w:val="single" w:sz="24" w:color="00417A"/>
        </w:pBdr>
        <w:ind w:left="283"/>
      </w:pPr>
      <w:r>
        <w:rPr>
          <w:rFonts w:ascii="Calibri" w:hAnsi="Calibri"/>
          <w:b/>
          <w:color w:val="F0AB00"/>
          <w:sz w:val="28"/>
        </w:rPr>
        <w:t xml:space="preserve">2.  </w:t>
      </w:r>
      <w:r>
        <w:rPr>
          <w:rFonts w:ascii="Calibri" w:hAnsi="Calibri"/>
          <w:b/>
          <w:color w:val="00417A"/>
          <w:sz w:val="28"/>
        </w:rPr>
        <w:t>Cómo usar el documento</w:t>
      </w:r>
    </w:p>
    <w:p>
      <w:pPr>
        <w:spacing w:before="40" w:after="40"/>
        <w:pBdr>
          <w:bottom w:val="single" w:sz="6" w:color="00417A"/>
        </w:pBdr>
      </w:pPr>
    </w:p>
    <w:p>
      <w:pPr>
        <w:spacing w:before="60" w:after="60"/>
      </w:pPr>
      <w:r>
        <w:rPr>
          <w:rFonts w:ascii="Calibri" w:hAnsi="Calibri"/>
          <w:color w:val="35353A"/>
          <w:sz w:val="20"/>
        </w:rPr>
        <w:t>Este documento está dirigido a los siguientes perfiles dentro del equipo de proyecto y la organización de Fanalca S.A.:</w:t>
      </w:r>
    </w:p>
    <w:p>
      <w:pPr>
        <w:pStyle w:val="ListBullet"/>
        <w:spacing w:before="40" w:after="40"/>
        <w:ind w:left="454"/>
      </w:pPr>
      <w:r>
        <w:rPr>
          <w:rFonts w:ascii="Calibri" w:hAnsi="Calibri"/>
          <w:b/>
          <w:color w:val="00417A"/>
          <w:sz w:val="20"/>
        </w:rPr>
        <w:t xml:space="preserve">Arquitectos SAP / SAC: </w:t>
      </w:r>
      <w:r>
        <w:rPr>
          <w:rFonts w:ascii="Calibri" w:hAnsi="Calibri"/>
          <w:color w:val="35353A"/>
          <w:sz w:val="20"/>
        </w:rPr>
        <w:t>Revisión del diseño técnico de modelos y dimensiones.</w:t>
      </w:r>
    </w:p>
    <w:p>
      <w:pPr>
        <w:pStyle w:val="ListBullet"/>
        <w:spacing w:before="40" w:after="40"/>
        <w:ind w:left="454"/>
      </w:pPr>
      <w:r>
        <w:rPr>
          <w:rFonts w:ascii="Calibri" w:hAnsi="Calibri"/>
          <w:b/>
          <w:color w:val="00417A"/>
          <w:sz w:val="20"/>
        </w:rPr>
        <w:t xml:space="preserve">Analistas Funcionales: </w:t>
      </w:r>
      <w:r>
        <w:rPr>
          <w:rFonts w:ascii="Calibri" w:hAnsi="Calibri"/>
          <w:color w:val="35353A"/>
          <w:sz w:val="20"/>
        </w:rPr>
        <w:t>Validación del mapeo de requisitos de negocio.</w:t>
      </w:r>
    </w:p>
    <w:p>
      <w:pPr>
        <w:pStyle w:val="ListBullet"/>
        <w:spacing w:before="40" w:after="40"/>
        <w:ind w:left="454"/>
      </w:pPr>
      <w:r>
        <w:rPr>
          <w:rFonts w:ascii="Calibri" w:hAnsi="Calibri"/>
          <w:b/>
          <w:color w:val="00417A"/>
          <w:sz w:val="20"/>
        </w:rPr>
        <w:t xml:space="preserve">Equipo de TI / BASIS: </w:t>
      </w:r>
      <w:r>
        <w:rPr>
          <w:rFonts w:ascii="Calibri" w:hAnsi="Calibri"/>
          <w:color w:val="35353A"/>
          <w:sz w:val="20"/>
        </w:rPr>
        <w:t>Referencia de configuración e integración con SAP ERP.</w:t>
      </w:r>
    </w:p>
    <w:p>
      <w:pPr>
        <w:pStyle w:val="ListBullet"/>
        <w:spacing w:before="40" w:after="40"/>
        <w:ind w:left="454"/>
      </w:pPr>
      <w:r>
        <w:rPr>
          <w:rFonts w:ascii="Calibri" w:hAnsi="Calibri"/>
          <w:b/>
          <w:color w:val="00417A"/>
          <w:sz w:val="20"/>
        </w:rPr>
        <w:t xml:space="preserve">Usuarios Clave (Key Users): </w:t>
      </w:r>
      <w:r>
        <w:rPr>
          <w:rFonts w:ascii="Calibri" w:hAnsi="Calibri"/>
          <w:color w:val="35353A"/>
          <w:sz w:val="20"/>
        </w:rPr>
        <w:t>Validación de la lógica de negocio y pruebas UAT.</w:t>
      </w:r>
    </w:p>
    <w:p>
      <w:pPr>
        <w:pStyle w:val="ListBullet"/>
        <w:spacing w:before="40" w:after="40"/>
        <w:ind w:left="454"/>
      </w:pPr>
      <w:r>
        <w:rPr>
          <w:rFonts w:ascii="Calibri" w:hAnsi="Calibri"/>
          <w:b/>
          <w:color w:val="00417A"/>
          <w:sz w:val="20"/>
        </w:rPr>
        <w:t xml:space="preserve">Gestión del Proyecto: </w:t>
      </w:r>
      <w:r>
        <w:rPr>
          <w:rFonts w:ascii="Calibri" w:hAnsi="Calibri"/>
          <w:color w:val="35353A"/>
          <w:sz w:val="20"/>
        </w:rPr>
        <w:t>Seguimiento del alcance, hitos y entregables.</w:t>
      </w:r>
    </w:p>
    <w:p>
      <w:pPr>
        <w:spacing w:before="60" w:after="60"/>
      </w:pPr>
      <w:r>
        <w:rPr>
          <w:rFonts w:ascii="Calibri" w:hAnsi="Calibri"/>
          <w:color w:val="35353A"/>
          <w:sz w:val="20"/>
        </w:rPr>
        <w:t>Para navegar el documento, utilice la Tabla de Contenido referenciada al inicio. Cada sección está numerada de forma jerárquica. Las tablas de configuración en la Sección 5 contienen valores de configuración en SAC que deben ser implementados en el sistema de acuerdo con la secuencia de actividades descrita.</w:t>
      </w:r>
    </w:p>
    <w:p>
      <w:pPr>
        <w:spacing w:before="240" w:after="80"/>
        <w:pBdr>
          <w:left w:val="single" w:sz="24" w:color="00417A"/>
        </w:pBdr>
        <w:ind w:left="283"/>
      </w:pPr>
      <w:r>
        <w:rPr>
          <w:rFonts w:ascii="Calibri" w:hAnsi="Calibri"/>
          <w:b/>
          <w:color w:val="F0AB00"/>
          <w:sz w:val="28"/>
        </w:rPr>
        <w:t xml:space="preserve">3.  </w:t>
      </w:r>
      <w:r>
        <w:rPr>
          <w:rFonts w:ascii="Calibri" w:hAnsi="Calibri"/>
          <w:b/>
          <w:color w:val="00417A"/>
          <w:sz w:val="28"/>
        </w:rPr>
        <w:t>Escenario / Proceso de negocio</w:t>
      </w:r>
    </w:p>
    <w:p>
      <w:pPr>
        <w:spacing w:before="40" w:after="40"/>
        <w:pBdr>
          <w:bottom w:val="single" w:sz="6" w:color="00417A"/>
        </w:pBdr>
      </w:pPr>
    </w:p>
    <w:p>
      <w:pPr>
        <w:spacing w:before="60" w:after="60"/>
      </w:pPr>
      <w:r>
        <w:rPr>
          <w:rFonts w:ascii="Calibri" w:hAnsi="Calibri"/>
          <w:color w:val="35353A"/>
          <w:sz w:val="20"/>
        </w:rPr>
        <w:t>Fanalca S.A. es un conglomerado industrial colombiano con más de 70 años de trayectoria, conformado por tres grandes unidades de negocio estratégicas. La compañía requiere una plataforma de analítica centralizada que integre los datos financieros y operativos de sus divisiones para soportar la toma de decisiones gerenciales y ejecutivas en tiempo real.</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417A"/>
          </w:tcPr>
          <w:p>
            <w:pPr>
              <w:jc w:val="center"/>
            </w:pPr>
            <w:r>
              <w:rPr>
                <w:rFonts w:ascii="Calibri" w:hAnsi="Calibri"/>
                <w:b/>
                <w:color w:val="FFFFFF"/>
                <w:sz w:val="19"/>
              </w:rPr>
              <w:t>Unidad de Negocio</w:t>
            </w:r>
          </w:p>
        </w:tc>
        <w:tc>
          <w:tcPr>
            <w:tcW w:type="dxa" w:w="3041"/>
            <w:shd w:val="clear" w:color="auto" w:fill="00417A"/>
          </w:tcPr>
          <w:p>
            <w:pPr>
              <w:jc w:val="center"/>
            </w:pPr>
            <w:r>
              <w:rPr>
                <w:rFonts w:ascii="Calibri" w:hAnsi="Calibri"/>
                <w:b/>
                <w:color w:val="FFFFFF"/>
                <w:sz w:val="19"/>
              </w:rPr>
              <w:t>Descripción</w:t>
            </w:r>
          </w:p>
        </w:tc>
        <w:tc>
          <w:tcPr>
            <w:tcW w:type="dxa" w:w="3041"/>
            <w:shd w:val="clear" w:color="auto" w:fill="00417A"/>
          </w:tcPr>
          <w:p>
            <w:pPr>
              <w:jc w:val="center"/>
            </w:pPr>
            <w:r>
              <w:rPr>
                <w:rFonts w:ascii="Calibri" w:hAnsi="Calibri"/>
                <w:b/>
                <w:color w:val="FFFFFF"/>
                <w:sz w:val="19"/>
              </w:rPr>
              <w:t>Proceso Clave SAC</w:t>
            </w:r>
          </w:p>
        </w:tc>
      </w:tr>
      <w:tr>
        <w:tc>
          <w:tcPr>
            <w:tcW w:type="dxa" w:w="3041"/>
            <w:shd w:val="clear" w:color="auto" w:fill="F5F5F5"/>
          </w:tcPr>
          <w:p>
            <w:r>
              <w:rPr>
                <w:rFonts w:ascii="Calibri" w:hAnsi="Calibri"/>
                <w:b/>
                <w:color w:val="00417A"/>
                <w:sz w:val="18"/>
              </w:rPr>
              <w:t>Fanalca Metalmecánica</w:t>
            </w:r>
          </w:p>
        </w:tc>
        <w:tc>
          <w:tcPr>
            <w:tcW w:type="dxa" w:w="3041"/>
            <w:shd w:val="clear" w:color="auto" w:fill="F5F5F5"/>
          </w:tcPr>
          <w:p>
            <w:r>
              <w:rPr>
                <w:rFonts w:ascii="Calibri" w:hAnsi="Calibri"/>
                <w:b w:val="0"/>
                <w:color w:val="35353A"/>
                <w:sz w:val="18"/>
              </w:rPr>
              <w:t>Manufactura de autopartes, componentes metálicos y ensambles para la industria automotriz. Planta de producción en Colombia.</w:t>
            </w:r>
          </w:p>
        </w:tc>
        <w:tc>
          <w:tcPr>
            <w:tcW w:type="dxa" w:w="3041"/>
            <w:shd w:val="clear" w:color="auto" w:fill="F5F5F5"/>
          </w:tcPr>
          <w:p>
            <w:r>
              <w:rPr>
                <w:rFonts w:ascii="Calibri" w:hAnsi="Calibri"/>
                <w:b w:val="0"/>
                <w:color w:val="35353A"/>
                <w:sz w:val="18"/>
              </w:rPr>
              <w:t>Control de Costos de Producción y análisis de Gastos Operativos (OPEX/CAPEX)</w:t>
            </w:r>
          </w:p>
        </w:tc>
      </w:tr>
      <w:tr>
        <w:tc>
          <w:tcPr>
            <w:tcW w:type="dxa" w:w="3041"/>
            <w:shd w:val="clear" w:color="auto" w:fill="FFFFFF"/>
          </w:tcPr>
          <w:p>
            <w:r>
              <w:rPr>
                <w:rFonts w:ascii="Calibri" w:hAnsi="Calibri"/>
                <w:b/>
                <w:color w:val="00417A"/>
                <w:sz w:val="18"/>
              </w:rPr>
              <w:t>Honda Supermotos</w:t>
            </w:r>
          </w:p>
        </w:tc>
        <w:tc>
          <w:tcPr>
            <w:tcW w:type="dxa" w:w="3041"/>
            <w:shd w:val="clear" w:color="auto" w:fill="FFFFFF"/>
          </w:tcPr>
          <w:p>
            <w:r>
              <w:rPr>
                <w:rFonts w:ascii="Calibri" w:hAnsi="Calibri"/>
                <w:b w:val="0"/>
                <w:color w:val="35353A"/>
                <w:sz w:val="18"/>
              </w:rPr>
              <w:t>Importación, distribución y comercialización de motocicletas Honda en el territorio nacional. Red de concesionarios a nivel Colombia.</w:t>
            </w:r>
          </w:p>
        </w:tc>
        <w:tc>
          <w:tcPr>
            <w:tcW w:type="dxa" w:w="3041"/>
            <w:shd w:val="clear" w:color="auto" w:fill="FFFFFF"/>
          </w:tcPr>
          <w:p>
            <w:r>
              <w:rPr>
                <w:rFonts w:ascii="Calibri" w:hAnsi="Calibri"/>
                <w:b w:val="0"/>
                <w:color w:val="35353A"/>
                <w:sz w:val="18"/>
              </w:rPr>
              <w:t>Análisis de Ingresos por línea de producto, cliente y región</w:t>
            </w:r>
          </w:p>
        </w:tc>
      </w:tr>
      <w:tr>
        <w:tc>
          <w:tcPr>
            <w:tcW w:type="dxa" w:w="3041"/>
            <w:shd w:val="clear" w:color="auto" w:fill="F5F5F5"/>
          </w:tcPr>
          <w:p>
            <w:r>
              <w:rPr>
                <w:rFonts w:ascii="Calibri" w:hAnsi="Calibri"/>
                <w:b/>
                <w:color w:val="00417A"/>
                <w:sz w:val="18"/>
              </w:rPr>
              <w:t>Honda Autos (Autos Honda)</w:t>
            </w:r>
          </w:p>
        </w:tc>
        <w:tc>
          <w:tcPr>
            <w:tcW w:type="dxa" w:w="3041"/>
            <w:shd w:val="clear" w:color="auto" w:fill="F5F5F5"/>
          </w:tcPr>
          <w:p>
            <w:r>
              <w:rPr>
                <w:rFonts w:ascii="Calibri" w:hAnsi="Calibri"/>
                <w:b w:val="0"/>
                <w:color w:val="35353A"/>
                <w:sz w:val="18"/>
              </w:rPr>
              <w:t>Distribución de vehículos livianos Honda. Gestión de inventario de vehículos y análisis de rentabilidad por modelo y punto de venta.</w:t>
            </w:r>
          </w:p>
        </w:tc>
        <w:tc>
          <w:tcPr>
            <w:tcW w:type="dxa" w:w="3041"/>
            <w:shd w:val="clear" w:color="auto" w:fill="F5F5F5"/>
          </w:tcPr>
          <w:p>
            <w:r>
              <w:rPr>
                <w:rFonts w:ascii="Calibri" w:hAnsi="Calibri"/>
                <w:b w:val="0"/>
                <w:color w:val="35353A"/>
                <w:sz w:val="18"/>
              </w:rPr>
              <w:t>Estados Financieros (EEFF) y análisis de márgenes por sociedad</w:t>
            </w:r>
          </w:p>
        </w:tc>
      </w:tr>
    </w:tbl>
    <w:p/>
    <w:p>
      <w:pPr>
        <w:spacing w:before="160" w:after="60"/>
        <w:ind w:left="283"/>
      </w:pPr>
      <w:r>
        <w:rPr>
          <w:rFonts w:ascii="Calibri" w:hAnsi="Calibri"/>
          <w:b/>
          <w:color w:val="0070BF"/>
          <w:sz w:val="22"/>
        </w:rPr>
        <w:t xml:space="preserve">3.1.  </w:t>
      </w:r>
      <w:r>
        <w:rPr>
          <w:rFonts w:ascii="Calibri" w:hAnsi="Calibri"/>
          <w:b/>
          <w:color w:val="35353A"/>
          <w:sz w:val="22"/>
        </w:rPr>
        <w:t>Objetivos empresariales y beneficios esperados</w:t>
      </w:r>
    </w:p>
    <w:p>
      <w:pPr>
        <w:spacing w:before="60" w:after="60"/>
      </w:pPr>
      <w:r>
        <w:rPr>
          <w:rFonts w:ascii="Calibri" w:hAnsi="Calibri"/>
          <w:color w:val="35353A"/>
          <w:sz w:val="20"/>
        </w:rPr>
        <w:t>La implementación de SAP Analytics Cloud en Fanalca S.A. responde a los siguientes objetivos estratégicos corporativos:</w:t>
      </w:r>
    </w:p>
    <w:p>
      <w:pPr>
        <w:pStyle w:val="ListBullet"/>
        <w:spacing w:before="40" w:after="40"/>
        <w:ind w:left="454"/>
      </w:pPr>
      <w:r>
        <w:rPr>
          <w:rFonts w:ascii="Calibri" w:hAnsi="Calibri"/>
          <w:b/>
          <w:color w:val="00417A"/>
          <w:sz w:val="20"/>
        </w:rPr>
        <w:t xml:space="preserve">Visibilidad financiera consolidada: </w:t>
      </w:r>
      <w:r>
        <w:rPr>
          <w:rFonts w:ascii="Calibri" w:hAnsi="Calibri"/>
          <w:color w:val="35353A"/>
          <w:sz w:val="20"/>
        </w:rPr>
        <w:t>Obtener una vista unificada de los resultados financieros de las tres unidades de negocio en tiempo real, eliminando la dependencia de reportes manuales en hojas de cálculo.</w:t>
      </w:r>
    </w:p>
    <w:p>
      <w:pPr>
        <w:pStyle w:val="ListBullet"/>
        <w:spacing w:before="40" w:after="40"/>
        <w:ind w:left="454"/>
      </w:pPr>
      <w:r>
        <w:rPr>
          <w:rFonts w:ascii="Calibri" w:hAnsi="Calibri"/>
          <w:b/>
          <w:color w:val="00417A"/>
          <w:sz w:val="20"/>
        </w:rPr>
        <w:t xml:space="preserve">Análisis de ingresos granular: </w:t>
      </w:r>
      <w:r>
        <w:rPr>
          <w:rFonts w:ascii="Calibri" w:hAnsi="Calibri"/>
          <w:color w:val="35353A"/>
          <w:sz w:val="20"/>
        </w:rPr>
        <w:t>Desagregación de los ingresos por cliente, referencia de producto, canal de distribución, moneda y centro de beneficio (CEBES), habilitando decisiones comerciales más ágiles.</w:t>
      </w:r>
    </w:p>
    <w:p>
      <w:pPr>
        <w:pStyle w:val="ListBullet"/>
        <w:spacing w:before="40" w:after="40"/>
        <w:ind w:left="454"/>
      </w:pPr>
      <w:r>
        <w:rPr>
          <w:rFonts w:ascii="Calibri" w:hAnsi="Calibri"/>
          <w:b/>
          <w:color w:val="00417A"/>
          <w:sz w:val="20"/>
        </w:rPr>
        <w:t xml:space="preserve">Control de costos y gastos: </w:t>
      </w:r>
      <w:r>
        <w:rPr>
          <w:rFonts w:ascii="Calibri" w:hAnsi="Calibri"/>
          <w:color w:val="35353A"/>
          <w:sz w:val="20"/>
        </w:rPr>
        <w:t>Seguimiento detallado de costos de producción y gastos operativos por centro de costo (CECOS), facilitando la gestión del OPEX y CAPEX.</w:t>
      </w:r>
    </w:p>
    <w:p>
      <w:pPr>
        <w:pStyle w:val="ListBullet"/>
        <w:spacing w:before="40" w:after="40"/>
        <w:ind w:left="454"/>
      </w:pPr>
      <w:r>
        <w:rPr>
          <w:rFonts w:ascii="Calibri" w:hAnsi="Calibri"/>
          <w:b/>
          <w:color w:val="00417A"/>
          <w:sz w:val="20"/>
        </w:rPr>
        <w:t xml:space="preserve">Cierre financiero ágil: </w:t>
      </w:r>
      <w:r>
        <w:rPr>
          <w:rFonts w:ascii="Calibri" w:hAnsi="Calibri"/>
          <w:color w:val="35353A"/>
          <w:sz w:val="20"/>
        </w:rPr>
        <w:t>Reducción del tiempo de cierre mensual mediante la automatización de los estados financieros desde el modelo EEFF integrado con SAP FI.</w:t>
      </w:r>
    </w:p>
    <w:p>
      <w:pPr>
        <w:pStyle w:val="ListBullet"/>
        <w:spacing w:before="40" w:after="40"/>
        <w:ind w:left="454"/>
      </w:pPr>
      <w:r>
        <w:rPr>
          <w:rFonts w:ascii="Calibri" w:hAnsi="Calibri"/>
          <w:b/>
          <w:color w:val="00417A"/>
          <w:sz w:val="20"/>
        </w:rPr>
        <w:t xml:space="preserve">Planeación integrada (xP&amp;A): </w:t>
      </w:r>
      <w:r>
        <w:rPr>
          <w:rFonts w:ascii="Calibri" w:hAnsi="Calibri"/>
          <w:color w:val="35353A"/>
          <w:sz w:val="20"/>
        </w:rPr>
        <w:t>Sentar las bases para una planificación financiera extendida que integre los planes de ventas, costos y gastos de todas las unidades.</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07454"/>
          </w:tcPr>
          <w:p>
            <w:pPr>
              <w:jc w:val="center"/>
            </w:pPr>
            <w:r>
              <w:rPr>
                <w:rFonts w:ascii="Calibri" w:hAnsi="Calibri"/>
                <w:b/>
                <w:color w:val="FFFFFF"/>
                <w:sz w:val="19"/>
              </w:rPr>
              <w:t>Área</w:t>
            </w:r>
          </w:p>
        </w:tc>
        <w:tc>
          <w:tcPr>
            <w:tcW w:type="dxa" w:w="3041"/>
            <w:shd w:val="clear" w:color="auto" w:fill="107454"/>
          </w:tcPr>
          <w:p>
            <w:pPr>
              <w:jc w:val="center"/>
            </w:pPr>
            <w:r>
              <w:rPr>
                <w:rFonts w:ascii="Calibri" w:hAnsi="Calibri"/>
                <w:b/>
                <w:color w:val="FFFFFF"/>
                <w:sz w:val="19"/>
              </w:rPr>
              <w:t>Beneficio Esperado</w:t>
            </w:r>
          </w:p>
        </w:tc>
        <w:tc>
          <w:tcPr>
            <w:tcW w:type="dxa" w:w="3041"/>
            <w:shd w:val="clear" w:color="auto" w:fill="107454"/>
          </w:tcPr>
          <w:p>
            <w:pPr>
              <w:jc w:val="center"/>
            </w:pPr>
            <w:r>
              <w:rPr>
                <w:rFonts w:ascii="Calibri" w:hAnsi="Calibri"/>
                <w:b/>
                <w:color w:val="FFFFFF"/>
                <w:sz w:val="19"/>
              </w:rPr>
              <w:t>KPI de Medición</w:t>
            </w:r>
          </w:p>
        </w:tc>
      </w:tr>
      <w:tr>
        <w:tc>
          <w:tcPr>
            <w:tcW w:type="dxa" w:w="3041"/>
            <w:shd w:val="clear" w:color="auto" w:fill="E8F5F0"/>
          </w:tcPr>
          <w:p>
            <w:r>
              <w:rPr>
                <w:rFonts w:ascii="Calibri" w:hAnsi="Calibri"/>
                <w:color w:val="35353A"/>
                <w:sz w:val="18"/>
              </w:rPr>
              <w:t>Finanzas</w:t>
            </w:r>
          </w:p>
        </w:tc>
        <w:tc>
          <w:tcPr>
            <w:tcW w:type="dxa" w:w="3041"/>
            <w:shd w:val="clear" w:color="auto" w:fill="E8F5F0"/>
          </w:tcPr>
          <w:p>
            <w:r>
              <w:rPr>
                <w:rFonts w:ascii="Calibri" w:hAnsi="Calibri"/>
                <w:color w:val="35353A"/>
                <w:sz w:val="18"/>
              </w:rPr>
              <w:t>Reducción tiempo cierre mensual en 60%</w:t>
            </w:r>
          </w:p>
        </w:tc>
        <w:tc>
          <w:tcPr>
            <w:tcW w:type="dxa" w:w="3041"/>
            <w:shd w:val="clear" w:color="auto" w:fill="E8F5F0"/>
          </w:tcPr>
          <w:p>
            <w:r>
              <w:rPr>
                <w:rFonts w:ascii="Calibri" w:hAnsi="Calibri"/>
                <w:color w:val="35353A"/>
                <w:sz w:val="18"/>
              </w:rPr>
              <w:t># Días de cierre</w:t>
            </w:r>
          </w:p>
        </w:tc>
      </w:tr>
      <w:tr>
        <w:tc>
          <w:tcPr>
            <w:tcW w:type="dxa" w:w="3041"/>
            <w:shd w:val="clear" w:color="auto" w:fill="FFFFFF"/>
          </w:tcPr>
          <w:p>
            <w:r>
              <w:rPr>
                <w:rFonts w:ascii="Calibri" w:hAnsi="Calibri"/>
                <w:color w:val="35353A"/>
                <w:sz w:val="18"/>
              </w:rPr>
              <w:t>Comercial</w:t>
            </w:r>
          </w:p>
        </w:tc>
        <w:tc>
          <w:tcPr>
            <w:tcW w:type="dxa" w:w="3041"/>
            <w:shd w:val="clear" w:color="auto" w:fill="FFFFFF"/>
          </w:tcPr>
          <w:p>
            <w:r>
              <w:rPr>
                <w:rFonts w:ascii="Calibri" w:hAnsi="Calibri"/>
                <w:color w:val="35353A"/>
                <w:sz w:val="18"/>
              </w:rPr>
              <w:t>Incremento análisis de rentabilidad por cliente</w:t>
            </w:r>
          </w:p>
        </w:tc>
        <w:tc>
          <w:tcPr>
            <w:tcW w:type="dxa" w:w="3041"/>
            <w:shd w:val="clear" w:color="auto" w:fill="FFFFFF"/>
          </w:tcPr>
          <w:p>
            <w:r>
              <w:rPr>
                <w:rFonts w:ascii="Calibri" w:hAnsi="Calibri"/>
                <w:color w:val="35353A"/>
                <w:sz w:val="18"/>
              </w:rPr>
              <w:t># Reportes autoservicio/mes</w:t>
            </w:r>
          </w:p>
        </w:tc>
      </w:tr>
      <w:tr>
        <w:tc>
          <w:tcPr>
            <w:tcW w:type="dxa" w:w="3041"/>
            <w:shd w:val="clear" w:color="auto" w:fill="E8F5F0"/>
          </w:tcPr>
          <w:p>
            <w:r>
              <w:rPr>
                <w:rFonts w:ascii="Calibri" w:hAnsi="Calibri"/>
                <w:color w:val="35353A"/>
                <w:sz w:val="18"/>
              </w:rPr>
              <w:t>Operaciones</w:t>
            </w:r>
          </w:p>
        </w:tc>
        <w:tc>
          <w:tcPr>
            <w:tcW w:type="dxa" w:w="3041"/>
            <w:shd w:val="clear" w:color="auto" w:fill="E8F5F0"/>
          </w:tcPr>
          <w:p>
            <w:r>
              <w:rPr>
                <w:rFonts w:ascii="Calibri" w:hAnsi="Calibri"/>
                <w:color w:val="35353A"/>
                <w:sz w:val="18"/>
              </w:rPr>
              <w:t>Control desviación presupuestal &lt; 5%</w:t>
            </w:r>
          </w:p>
        </w:tc>
        <w:tc>
          <w:tcPr>
            <w:tcW w:type="dxa" w:w="3041"/>
            <w:shd w:val="clear" w:color="auto" w:fill="E8F5F0"/>
          </w:tcPr>
          <w:p>
            <w:r>
              <w:rPr>
                <w:rFonts w:ascii="Calibri" w:hAnsi="Calibri"/>
                <w:color w:val="35353A"/>
                <w:sz w:val="18"/>
              </w:rPr>
              <w:t>% Variación Real vs. Plan</w:t>
            </w:r>
          </w:p>
        </w:tc>
      </w:tr>
      <w:tr>
        <w:tc>
          <w:tcPr>
            <w:tcW w:type="dxa" w:w="3041"/>
            <w:shd w:val="clear" w:color="auto" w:fill="FFFFFF"/>
          </w:tcPr>
          <w:p>
            <w:r>
              <w:rPr>
                <w:rFonts w:ascii="Calibri" w:hAnsi="Calibri"/>
                <w:color w:val="35353A"/>
                <w:sz w:val="18"/>
              </w:rPr>
              <w:t>Alta Dirección</w:t>
            </w:r>
          </w:p>
        </w:tc>
        <w:tc>
          <w:tcPr>
            <w:tcW w:type="dxa" w:w="3041"/>
            <w:shd w:val="clear" w:color="auto" w:fill="FFFFFF"/>
          </w:tcPr>
          <w:p>
            <w:r>
              <w:rPr>
                <w:rFonts w:ascii="Calibri" w:hAnsi="Calibri"/>
                <w:color w:val="35353A"/>
                <w:sz w:val="18"/>
              </w:rPr>
              <w:t>Dashboard ejecutivo en tiempo real 24/7</w:t>
            </w:r>
          </w:p>
        </w:tc>
        <w:tc>
          <w:tcPr>
            <w:tcW w:type="dxa" w:w="3041"/>
            <w:shd w:val="clear" w:color="auto" w:fill="FFFFFF"/>
          </w:tcPr>
          <w:p>
            <w:r>
              <w:rPr>
                <w:rFonts w:ascii="Calibri" w:hAnsi="Calibri"/>
                <w:color w:val="35353A"/>
                <w:sz w:val="18"/>
              </w:rPr>
              <w:t>NPS Usuarios / Adopción %</w:t>
            </w:r>
          </w:p>
        </w:tc>
      </w:tr>
    </w:tbl>
    <w:p/>
    <w:p>
      <w:pPr>
        <w:spacing w:before="160" w:after="60"/>
        <w:ind w:left="283"/>
      </w:pPr>
      <w:r>
        <w:rPr>
          <w:rFonts w:ascii="Calibri" w:hAnsi="Calibri"/>
          <w:b/>
          <w:color w:val="0070BF"/>
          <w:sz w:val="22"/>
        </w:rPr>
        <w:t xml:space="preserve">3.2.  </w:t>
      </w:r>
      <w:r>
        <w:rPr>
          <w:rFonts w:ascii="Calibri" w:hAnsi="Calibri"/>
          <w:b/>
          <w:color w:val="35353A"/>
          <w:sz w:val="22"/>
        </w:rPr>
        <w:t>Descripción a alto nivel de Requisitos empresariales</w:t>
      </w:r>
    </w:p>
    <w:p>
      <w:pPr>
        <w:spacing w:before="60" w:after="60"/>
      </w:pPr>
      <w:r>
        <w:rPr>
          <w:rFonts w:ascii="Calibri" w:hAnsi="Calibri"/>
          <w:color w:val="35353A"/>
          <w:sz w:val="20"/>
        </w:rPr>
        <w:t>Los siguientes requisitos de alto nivel fueron identificados durante el proceso de levantamiento de información con los usuarios clave de Fanalca:</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417A"/>
          </w:tcPr>
          <w:p>
            <w:pPr>
              <w:jc w:val="center"/>
            </w:pPr>
            <w:r>
              <w:rPr>
                <w:rFonts w:ascii="Calibri" w:hAnsi="Calibri"/>
                <w:b/>
                <w:color w:val="FFFFFF"/>
                <w:sz w:val="19"/>
              </w:rPr>
              <w:t>ID</w:t>
            </w:r>
          </w:p>
        </w:tc>
        <w:tc>
          <w:tcPr>
            <w:tcW w:type="dxa" w:w="3041"/>
            <w:shd w:val="clear" w:color="auto" w:fill="00417A"/>
          </w:tcPr>
          <w:p>
            <w:pPr>
              <w:jc w:val="center"/>
            </w:pPr>
            <w:r>
              <w:rPr>
                <w:rFonts w:ascii="Calibri" w:hAnsi="Calibri"/>
                <w:b/>
                <w:color w:val="FFFFFF"/>
                <w:sz w:val="19"/>
              </w:rPr>
              <w:t>Requisito</w:t>
            </w:r>
          </w:p>
        </w:tc>
        <w:tc>
          <w:tcPr>
            <w:tcW w:type="dxa" w:w="3041"/>
            <w:shd w:val="clear" w:color="auto" w:fill="00417A"/>
          </w:tcPr>
          <w:p>
            <w:pPr>
              <w:jc w:val="center"/>
            </w:pPr>
            <w:r>
              <w:rPr>
                <w:rFonts w:ascii="Calibri" w:hAnsi="Calibri"/>
                <w:b/>
                <w:color w:val="FFFFFF"/>
                <w:sz w:val="19"/>
              </w:rPr>
              <w:t>Descripción</w:t>
            </w:r>
          </w:p>
        </w:tc>
      </w:tr>
      <w:tr>
        <w:tc>
          <w:tcPr>
            <w:tcW w:type="dxa" w:w="3041"/>
            <w:shd w:val="clear" w:color="auto" w:fill="E8F4FD"/>
          </w:tcPr>
          <w:p>
            <w:r>
              <w:rPr>
                <w:rFonts w:ascii="Calibri" w:hAnsi="Calibri"/>
                <w:b/>
                <w:color w:val="00417A"/>
                <w:sz w:val="18"/>
              </w:rPr>
              <w:t>REQ-001</w:t>
            </w:r>
          </w:p>
        </w:tc>
        <w:tc>
          <w:tcPr>
            <w:tcW w:type="dxa" w:w="3041"/>
            <w:shd w:val="clear" w:color="auto" w:fill="E8F4FD"/>
          </w:tcPr>
          <w:p>
            <w:r>
              <w:rPr>
                <w:rFonts w:ascii="Calibri" w:hAnsi="Calibri"/>
                <w:b/>
                <w:color w:val="00417A"/>
                <w:sz w:val="18"/>
              </w:rPr>
              <w:t>Modelo de Ingresos</w:t>
            </w:r>
          </w:p>
        </w:tc>
        <w:tc>
          <w:tcPr>
            <w:tcW w:type="dxa" w:w="3041"/>
            <w:shd w:val="clear" w:color="auto" w:fill="E8F4FD"/>
          </w:tcPr>
          <w:p>
            <w:r>
              <w:rPr>
                <w:rFonts w:ascii="Calibri" w:hAnsi="Calibri"/>
                <w:b w:val="0"/>
                <w:color w:val="35353A"/>
                <w:sz w:val="18"/>
              </w:rPr>
              <w:t>Reportar ingresos por sociedad, cliente, referencia, CEBES, moneda y ratio (precio/volumen) con comparativos Real vs. Plan vs. Forecast.</w:t>
            </w:r>
          </w:p>
        </w:tc>
      </w:tr>
      <w:tr>
        <w:tc>
          <w:tcPr>
            <w:tcW w:type="dxa" w:w="3041"/>
            <w:shd w:val="clear" w:color="auto" w:fill="FFFFFF"/>
          </w:tcPr>
          <w:p>
            <w:r>
              <w:rPr>
                <w:rFonts w:ascii="Calibri" w:hAnsi="Calibri"/>
                <w:b/>
                <w:color w:val="00417A"/>
                <w:sz w:val="18"/>
              </w:rPr>
              <w:t>REQ-002</w:t>
            </w:r>
          </w:p>
        </w:tc>
        <w:tc>
          <w:tcPr>
            <w:tcW w:type="dxa" w:w="3041"/>
            <w:shd w:val="clear" w:color="auto" w:fill="FFFFFF"/>
          </w:tcPr>
          <w:p>
            <w:r>
              <w:rPr>
                <w:rFonts w:ascii="Calibri" w:hAnsi="Calibri"/>
                <w:b/>
                <w:color w:val="00417A"/>
                <w:sz w:val="18"/>
              </w:rPr>
              <w:t>Modelo EEFF</w:t>
            </w:r>
          </w:p>
        </w:tc>
        <w:tc>
          <w:tcPr>
            <w:tcW w:type="dxa" w:w="3041"/>
            <w:shd w:val="clear" w:color="auto" w:fill="FFFFFF"/>
          </w:tcPr>
          <w:p>
            <w:r>
              <w:rPr>
                <w:rFonts w:ascii="Calibri" w:hAnsi="Calibri"/>
                <w:b w:val="0"/>
                <w:color w:val="35353A"/>
                <w:sz w:val="18"/>
              </w:rPr>
              <w:t>Generar Balance General y Estado de Resultados consolidado por cuenta contable (CUENTA), sociedad y centro de beneficio para las tres unidades.</w:t>
            </w:r>
          </w:p>
        </w:tc>
      </w:tr>
      <w:tr>
        <w:tc>
          <w:tcPr>
            <w:tcW w:type="dxa" w:w="3041"/>
            <w:shd w:val="clear" w:color="auto" w:fill="E8F4FD"/>
          </w:tcPr>
          <w:p>
            <w:r>
              <w:rPr>
                <w:rFonts w:ascii="Calibri" w:hAnsi="Calibri"/>
                <w:b/>
                <w:color w:val="00417A"/>
                <w:sz w:val="18"/>
              </w:rPr>
              <w:t>REQ-003</w:t>
            </w:r>
          </w:p>
        </w:tc>
        <w:tc>
          <w:tcPr>
            <w:tcW w:type="dxa" w:w="3041"/>
            <w:shd w:val="clear" w:color="auto" w:fill="E8F4FD"/>
          </w:tcPr>
          <w:p>
            <w:r>
              <w:rPr>
                <w:rFonts w:ascii="Calibri" w:hAnsi="Calibri"/>
                <w:b/>
                <w:color w:val="00417A"/>
                <w:sz w:val="18"/>
              </w:rPr>
              <w:t>Modelo de Costos y Gastos</w:t>
            </w:r>
          </w:p>
        </w:tc>
        <w:tc>
          <w:tcPr>
            <w:tcW w:type="dxa" w:w="3041"/>
            <w:shd w:val="clear" w:color="auto" w:fill="E8F4FD"/>
          </w:tcPr>
          <w:p>
            <w:r>
              <w:rPr>
                <w:rFonts w:ascii="Calibri" w:hAnsi="Calibri"/>
                <w:b w:val="0"/>
                <w:color w:val="35353A"/>
                <w:sz w:val="18"/>
              </w:rPr>
              <w:t>Analizar costos y gastos por cuenta (CUENTAS), centro de costo (CECOS), sociedad y CEBES con granularidad mensual y acumulado anual.</w:t>
            </w:r>
          </w:p>
        </w:tc>
      </w:tr>
      <w:tr>
        <w:tc>
          <w:tcPr>
            <w:tcW w:type="dxa" w:w="3041"/>
            <w:shd w:val="clear" w:color="auto" w:fill="FFFFFF"/>
          </w:tcPr>
          <w:p>
            <w:r>
              <w:rPr>
                <w:rFonts w:ascii="Calibri" w:hAnsi="Calibri"/>
                <w:b/>
                <w:color w:val="00417A"/>
                <w:sz w:val="18"/>
              </w:rPr>
              <w:t>REQ-004</w:t>
            </w:r>
          </w:p>
        </w:tc>
        <w:tc>
          <w:tcPr>
            <w:tcW w:type="dxa" w:w="3041"/>
            <w:shd w:val="clear" w:color="auto" w:fill="FFFFFF"/>
          </w:tcPr>
          <w:p>
            <w:r>
              <w:rPr>
                <w:rFonts w:ascii="Calibri" w:hAnsi="Calibri"/>
                <w:b/>
                <w:color w:val="00417A"/>
                <w:sz w:val="18"/>
              </w:rPr>
              <w:t>Archivos de Validación</w:t>
            </w:r>
          </w:p>
        </w:tc>
        <w:tc>
          <w:tcPr>
            <w:tcW w:type="dxa" w:w="3041"/>
            <w:shd w:val="clear" w:color="auto" w:fill="FFFFFF"/>
          </w:tcPr>
          <w:p>
            <w:r>
              <w:rPr>
                <w:rFonts w:ascii="Calibri" w:hAnsi="Calibri"/>
                <w:b w:val="0"/>
                <w:color w:val="35353A"/>
                <w:sz w:val="18"/>
              </w:rPr>
              <w:t>Proceso de validación y conciliación de los datos cargados en SAC contra los saldos del sistema SAP ERP para garantizar integridad de la información.</w:t>
            </w:r>
          </w:p>
        </w:tc>
      </w:tr>
      <w:tr>
        <w:tc>
          <w:tcPr>
            <w:tcW w:type="dxa" w:w="3041"/>
            <w:shd w:val="clear" w:color="auto" w:fill="E8F4FD"/>
          </w:tcPr>
          <w:p>
            <w:r>
              <w:rPr>
                <w:rFonts w:ascii="Calibri" w:hAnsi="Calibri"/>
                <w:b/>
                <w:color w:val="00417A"/>
                <w:sz w:val="18"/>
              </w:rPr>
              <w:t>REQ-005</w:t>
            </w:r>
          </w:p>
        </w:tc>
        <w:tc>
          <w:tcPr>
            <w:tcW w:type="dxa" w:w="3041"/>
            <w:shd w:val="clear" w:color="auto" w:fill="E8F4FD"/>
          </w:tcPr>
          <w:p>
            <w:r>
              <w:rPr>
                <w:rFonts w:ascii="Calibri" w:hAnsi="Calibri"/>
                <w:b/>
                <w:color w:val="00417A"/>
                <w:sz w:val="18"/>
              </w:rPr>
              <w:t>Multi-moneda</w:t>
            </w:r>
          </w:p>
        </w:tc>
        <w:tc>
          <w:tcPr>
            <w:tcW w:type="dxa" w:w="3041"/>
            <w:shd w:val="clear" w:color="auto" w:fill="E8F4FD"/>
          </w:tcPr>
          <w:p>
            <w:r>
              <w:rPr>
                <w:rFonts w:ascii="Calibri" w:hAnsi="Calibri"/>
                <w:b w:val="0"/>
                <w:color w:val="35353A"/>
                <w:sz w:val="18"/>
              </w:rPr>
              <w:t>Soporte para análisis en moneda local (COP) y moneda funcional/grupo a través de la dimensión MONEDA en todos los modelos.</w:t>
            </w:r>
          </w:p>
        </w:tc>
      </w:tr>
      <w:tr>
        <w:tc>
          <w:tcPr>
            <w:tcW w:type="dxa" w:w="3041"/>
            <w:shd w:val="clear" w:color="auto" w:fill="FFFFFF"/>
          </w:tcPr>
          <w:p>
            <w:r>
              <w:rPr>
                <w:rFonts w:ascii="Calibri" w:hAnsi="Calibri"/>
                <w:b/>
                <w:color w:val="00417A"/>
                <w:sz w:val="18"/>
              </w:rPr>
              <w:t>REQ-006</w:t>
            </w:r>
          </w:p>
        </w:tc>
        <w:tc>
          <w:tcPr>
            <w:tcW w:type="dxa" w:w="3041"/>
            <w:shd w:val="clear" w:color="auto" w:fill="FFFFFF"/>
          </w:tcPr>
          <w:p>
            <w:r>
              <w:rPr>
                <w:rFonts w:ascii="Calibri" w:hAnsi="Calibri"/>
                <w:b/>
                <w:color w:val="00417A"/>
                <w:sz w:val="18"/>
              </w:rPr>
              <w:t>Versionamiento</w:t>
            </w:r>
          </w:p>
        </w:tc>
        <w:tc>
          <w:tcPr>
            <w:tcW w:type="dxa" w:w="3041"/>
            <w:shd w:val="clear" w:color="auto" w:fill="FFFFFF"/>
          </w:tcPr>
          <w:p>
            <w:r>
              <w:rPr>
                <w:rFonts w:ascii="Calibri" w:hAnsi="Calibri"/>
                <w:b w:val="0"/>
                <w:color w:val="35353A"/>
                <w:sz w:val="18"/>
              </w:rPr>
              <w:t>Manejo de múltiples versiones (Real, Plan, Forecast, Budget) a través de la dimensión VERSION estándar de SAC.</w:t>
            </w:r>
          </w:p>
        </w:tc>
      </w:tr>
    </w:tbl>
    <w:p/>
    <w:p>
      <w:r>
        <w:br w:type="page"/>
      </w:r>
    </w:p>
    <w:p>
      <w:pPr>
        <w:spacing w:before="240" w:after="80"/>
        <w:pBdr>
          <w:left w:val="single" w:sz="24" w:color="00417A"/>
        </w:pBdr>
        <w:ind w:left="283"/>
      </w:pPr>
      <w:r>
        <w:rPr>
          <w:rFonts w:ascii="Calibri" w:hAnsi="Calibri"/>
          <w:b/>
          <w:color w:val="F0AB00"/>
          <w:sz w:val="28"/>
        </w:rPr>
        <w:t xml:space="preserve">4.  </w:t>
      </w:r>
      <w:r>
        <w:rPr>
          <w:rFonts w:ascii="Calibri" w:hAnsi="Calibri"/>
          <w:b/>
          <w:color w:val="00417A"/>
          <w:sz w:val="28"/>
        </w:rPr>
        <w:t>Estructura organizativa relevante</w:t>
      </w:r>
    </w:p>
    <w:p>
      <w:pPr>
        <w:spacing w:before="40" w:after="40"/>
        <w:pBdr>
          <w:bottom w:val="single" w:sz="6" w:color="00417A"/>
        </w:pBdr>
      </w:pPr>
    </w:p>
    <w:p>
      <w:pPr>
        <w:spacing w:before="60" w:after="60"/>
      </w:pPr>
      <w:r>
        <w:rPr>
          <w:rFonts w:ascii="Calibri" w:hAnsi="Calibri"/>
          <w:color w:val="35353A"/>
          <w:sz w:val="20"/>
        </w:rPr>
        <w:t>La estructura organizativa de Fanalca S.A. relevante para el modelo de SAP Analytics Cloud refleja la jerarquía de entidades contables y analíticas definidas en SAP ERP, las cuales se mapean directamente a las dimensiones de los modelos SAC:</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417A"/>
          </w:tcPr>
          <w:p>
            <w:pPr>
              <w:jc w:val="center"/>
            </w:pPr>
            <w:r>
              <w:rPr>
                <w:rFonts w:ascii="Calibri" w:hAnsi="Calibri"/>
                <w:b/>
                <w:color w:val="FFFFFF"/>
                <w:sz w:val="19"/>
              </w:rPr>
              <w:t>Dimensión SAC</w:t>
            </w:r>
          </w:p>
        </w:tc>
        <w:tc>
          <w:tcPr>
            <w:tcW w:type="dxa" w:w="3041"/>
            <w:shd w:val="clear" w:color="auto" w:fill="00417A"/>
          </w:tcPr>
          <w:p>
            <w:pPr>
              <w:jc w:val="center"/>
            </w:pPr>
            <w:r>
              <w:rPr>
                <w:rFonts w:ascii="Calibri" w:hAnsi="Calibri"/>
                <w:b/>
                <w:color w:val="FFFFFF"/>
                <w:sz w:val="19"/>
              </w:rPr>
              <w:t>Descripción</w:t>
            </w:r>
          </w:p>
        </w:tc>
        <w:tc>
          <w:tcPr>
            <w:tcW w:type="dxa" w:w="3041"/>
            <w:shd w:val="clear" w:color="auto" w:fill="00417A"/>
          </w:tcPr>
          <w:p>
            <w:pPr>
              <w:jc w:val="center"/>
            </w:pPr>
            <w:r>
              <w:rPr>
                <w:rFonts w:ascii="Calibri" w:hAnsi="Calibri"/>
                <w:b/>
                <w:color w:val="FFFFFF"/>
                <w:sz w:val="19"/>
              </w:rPr>
              <w:t>Valores / Referencia SAP</w:t>
            </w:r>
          </w:p>
        </w:tc>
      </w:tr>
      <w:tr>
        <w:tc>
          <w:tcPr>
            <w:tcW w:type="dxa" w:w="3041"/>
            <w:shd w:val="clear" w:color="auto" w:fill="FFF8E6"/>
          </w:tcPr>
          <w:p>
            <w:r>
              <w:rPr>
                <w:rFonts w:ascii="Calibri" w:hAnsi="Calibri"/>
                <w:b/>
                <w:color w:val="00417A"/>
                <w:sz w:val="18"/>
              </w:rPr>
              <w:t>Sociedad (SOCIEDAD)</w:t>
            </w:r>
          </w:p>
        </w:tc>
        <w:tc>
          <w:tcPr>
            <w:tcW w:type="dxa" w:w="3041"/>
            <w:shd w:val="clear" w:color="auto" w:fill="FFF8E6"/>
          </w:tcPr>
          <w:p>
            <w:r>
              <w:rPr>
                <w:rFonts w:ascii="Calibri" w:hAnsi="Calibri"/>
                <w:b w:val="0"/>
                <w:color w:val="35353A"/>
                <w:sz w:val="18"/>
              </w:rPr>
              <w:t>Entidad jurídica / legal de Fanalca. Corresponde al Mandante y Company Code en SAP FI. Dimensión compartida en todos los modelos.</w:t>
            </w:r>
          </w:p>
        </w:tc>
        <w:tc>
          <w:tcPr>
            <w:tcW w:type="dxa" w:w="3041"/>
            <w:shd w:val="clear" w:color="auto" w:fill="FFF8E6"/>
          </w:tcPr>
          <w:p>
            <w:r>
              <w:rPr>
                <w:rFonts w:ascii="Calibri" w:hAnsi="Calibri"/>
                <w:b w:val="0"/>
                <w:color w:val="35353A"/>
                <w:sz w:val="18"/>
              </w:rPr>
              <w:t>Metalmecánica S.A. / Honda Motos / Honda Autos</w:t>
            </w:r>
          </w:p>
        </w:tc>
      </w:tr>
      <w:tr>
        <w:tc>
          <w:tcPr>
            <w:tcW w:type="dxa" w:w="3041"/>
            <w:shd w:val="clear" w:color="auto" w:fill="FFF8E6"/>
          </w:tcPr>
          <w:p>
            <w:r>
              <w:rPr>
                <w:rFonts w:ascii="Calibri" w:hAnsi="Calibri"/>
                <w:b/>
                <w:color w:val="00417A"/>
                <w:sz w:val="18"/>
              </w:rPr>
              <w:t>Centro de Beneficio (CEBES)</w:t>
            </w:r>
          </w:p>
        </w:tc>
        <w:tc>
          <w:tcPr>
            <w:tcW w:type="dxa" w:w="3041"/>
            <w:shd w:val="clear" w:color="auto" w:fill="FFF8E6"/>
          </w:tcPr>
          <w:p>
            <w:r>
              <w:rPr>
                <w:rFonts w:ascii="Calibri" w:hAnsi="Calibri"/>
                <w:b w:val="0"/>
                <w:color w:val="35353A"/>
                <w:sz w:val="18"/>
              </w:rPr>
              <w:t>Unidad de negocio o línea de producto para el análisis de rentabilidad. Corresponde al Profit Center en SAP CO-PCA.</w:t>
            </w:r>
          </w:p>
        </w:tc>
        <w:tc>
          <w:tcPr>
            <w:tcW w:type="dxa" w:w="3041"/>
            <w:shd w:val="clear" w:color="auto" w:fill="FFF8E6"/>
          </w:tcPr>
          <w:p>
            <w:r>
              <w:rPr>
                <w:rFonts w:ascii="Calibri" w:hAnsi="Calibri"/>
                <w:b w:val="0"/>
                <w:color w:val="35353A"/>
                <w:sz w:val="18"/>
              </w:rPr>
              <w:t>Líneas de producto, familias de referencia</w:t>
            </w:r>
          </w:p>
        </w:tc>
      </w:tr>
      <w:tr>
        <w:tc>
          <w:tcPr>
            <w:tcW w:type="dxa" w:w="3041"/>
            <w:shd w:val="clear" w:color="auto" w:fill="F5F5F5"/>
          </w:tcPr>
          <w:p>
            <w:r>
              <w:rPr>
                <w:rFonts w:ascii="Calibri" w:hAnsi="Calibri"/>
                <w:b/>
                <w:color w:val="00417A"/>
                <w:sz w:val="18"/>
              </w:rPr>
              <w:t>Centro de Costo (CECOS)</w:t>
            </w:r>
          </w:p>
        </w:tc>
        <w:tc>
          <w:tcPr>
            <w:tcW w:type="dxa" w:w="3041"/>
            <w:shd w:val="clear" w:color="auto" w:fill="F5F5F5"/>
          </w:tcPr>
          <w:p>
            <w:r>
              <w:rPr>
                <w:rFonts w:ascii="Calibri" w:hAnsi="Calibri"/>
                <w:b w:val="0"/>
                <w:color w:val="35353A"/>
                <w:sz w:val="18"/>
              </w:rPr>
              <w:t>Unidad organizativa donde se originan los costos. Correspond al Cost Center en SAP CO-CCA. Exclusivo del modelo de Costos y Gastos.</w:t>
            </w:r>
          </w:p>
        </w:tc>
        <w:tc>
          <w:tcPr>
            <w:tcW w:type="dxa" w:w="3041"/>
            <w:shd w:val="clear" w:color="auto" w:fill="F5F5F5"/>
          </w:tcPr>
          <w:p>
            <w:r>
              <w:rPr>
                <w:rFonts w:ascii="Calibri" w:hAnsi="Calibri"/>
                <w:b w:val="0"/>
                <w:color w:val="35353A"/>
                <w:sz w:val="18"/>
              </w:rPr>
              <w:t>Producción, Ventas, Administración, Logística</w:t>
            </w:r>
          </w:p>
        </w:tc>
      </w:tr>
      <w:tr>
        <w:tc>
          <w:tcPr>
            <w:tcW w:type="dxa" w:w="3041"/>
            <w:shd w:val="clear" w:color="auto" w:fill="FFFFFF"/>
          </w:tcPr>
          <w:p>
            <w:r>
              <w:rPr>
                <w:rFonts w:ascii="Calibri" w:hAnsi="Calibri"/>
                <w:b/>
                <w:color w:val="00417A"/>
                <w:sz w:val="18"/>
              </w:rPr>
              <w:t>Cuenta Contable (CUENTA / CUENTAS)</w:t>
            </w:r>
          </w:p>
        </w:tc>
        <w:tc>
          <w:tcPr>
            <w:tcW w:type="dxa" w:w="3041"/>
            <w:shd w:val="clear" w:color="auto" w:fill="FFFFFF"/>
          </w:tcPr>
          <w:p>
            <w:r>
              <w:rPr>
                <w:rFonts w:ascii="Calibri" w:hAnsi="Calibri"/>
                <w:b w:val="0"/>
                <w:color w:val="35353A"/>
                <w:sz w:val="18"/>
              </w:rPr>
              <w:t>Plan de cuentas de Fanalca. CUENTA para EEFF (cuentas de balance y resultados). CUENTAS para el modelo de gastos (cuentas de costos).</w:t>
            </w:r>
          </w:p>
        </w:tc>
        <w:tc>
          <w:tcPr>
            <w:tcW w:type="dxa" w:w="3041"/>
            <w:shd w:val="clear" w:color="auto" w:fill="FFFFFF"/>
          </w:tcPr>
          <w:p>
            <w:r>
              <w:rPr>
                <w:rFonts w:ascii="Calibri" w:hAnsi="Calibri"/>
                <w:b w:val="0"/>
                <w:color w:val="35353A"/>
                <w:sz w:val="18"/>
              </w:rPr>
              <w:t>Plan de cuentas KOFAX / estándar SAP</w:t>
            </w:r>
          </w:p>
        </w:tc>
      </w:tr>
      <w:tr>
        <w:tc>
          <w:tcPr>
            <w:tcW w:type="dxa" w:w="3041"/>
            <w:shd w:val="clear" w:color="auto" w:fill="F5F5F5"/>
          </w:tcPr>
          <w:p>
            <w:r>
              <w:rPr>
                <w:rFonts w:ascii="Calibri" w:hAnsi="Calibri"/>
                <w:b/>
                <w:color w:val="00417A"/>
                <w:sz w:val="18"/>
              </w:rPr>
              <w:t>Referencia (REFERENCIA)</w:t>
            </w:r>
          </w:p>
        </w:tc>
        <w:tc>
          <w:tcPr>
            <w:tcW w:type="dxa" w:w="3041"/>
            <w:shd w:val="clear" w:color="auto" w:fill="F5F5F5"/>
          </w:tcPr>
          <w:p>
            <w:r>
              <w:rPr>
                <w:rFonts w:ascii="Calibri" w:hAnsi="Calibri"/>
                <w:b w:val="0"/>
                <w:color w:val="35353A"/>
                <w:sz w:val="18"/>
              </w:rPr>
              <w:t>Código de producto o referencia comercial para el análisis de ingresos. Exclusivo del modelo de Ingresos.</w:t>
            </w:r>
          </w:p>
        </w:tc>
        <w:tc>
          <w:tcPr>
            <w:tcW w:type="dxa" w:w="3041"/>
            <w:shd w:val="clear" w:color="auto" w:fill="F5F5F5"/>
          </w:tcPr>
          <w:p>
            <w:r>
              <w:rPr>
                <w:rFonts w:ascii="Calibri" w:hAnsi="Calibri"/>
                <w:b w:val="0"/>
                <w:color w:val="35353A"/>
                <w:sz w:val="18"/>
              </w:rPr>
              <w:t>SKUs Honda, referencias metalmecánica</w:t>
            </w:r>
          </w:p>
        </w:tc>
      </w:tr>
      <w:tr>
        <w:tc>
          <w:tcPr>
            <w:tcW w:type="dxa" w:w="3041"/>
            <w:shd w:val="clear" w:color="auto" w:fill="FFFFFF"/>
          </w:tcPr>
          <w:p>
            <w:r>
              <w:rPr>
                <w:rFonts w:ascii="Calibri" w:hAnsi="Calibri"/>
                <w:b/>
                <w:color w:val="00417A"/>
                <w:sz w:val="18"/>
              </w:rPr>
              <w:t>Cliente (CLIENTES)</w:t>
            </w:r>
          </w:p>
        </w:tc>
        <w:tc>
          <w:tcPr>
            <w:tcW w:type="dxa" w:w="3041"/>
            <w:shd w:val="clear" w:color="auto" w:fill="FFFFFF"/>
          </w:tcPr>
          <w:p>
            <w:r>
              <w:rPr>
                <w:rFonts w:ascii="Calibri" w:hAnsi="Calibri"/>
                <w:b w:val="0"/>
                <w:color w:val="35353A"/>
                <w:sz w:val="18"/>
              </w:rPr>
              <w:t>Dimensión de clientes para el análisis de ingresos por cuenta cliente. Exclusivo del modelo de Ingresos.</w:t>
            </w:r>
          </w:p>
        </w:tc>
        <w:tc>
          <w:tcPr>
            <w:tcW w:type="dxa" w:w="3041"/>
            <w:shd w:val="clear" w:color="auto" w:fill="FFFFFF"/>
          </w:tcPr>
          <w:p>
            <w:r>
              <w:rPr>
                <w:rFonts w:ascii="Calibri" w:hAnsi="Calibri"/>
                <w:b w:val="0"/>
                <w:color w:val="35353A"/>
                <w:sz w:val="18"/>
              </w:rPr>
              <w:t>Concesionarios, distribuidores, clientes directos</w:t>
            </w:r>
          </w:p>
        </w:tc>
      </w:tr>
      <w:tr>
        <w:tc>
          <w:tcPr>
            <w:tcW w:type="dxa" w:w="3041"/>
            <w:shd w:val="clear" w:color="auto" w:fill="FFF8E6"/>
          </w:tcPr>
          <w:p>
            <w:r>
              <w:rPr>
                <w:rFonts w:ascii="Calibri" w:hAnsi="Calibri"/>
                <w:b/>
                <w:color w:val="00417A"/>
                <w:sz w:val="18"/>
              </w:rPr>
              <w:t>Moneda (MONEDA)</w:t>
            </w:r>
          </w:p>
        </w:tc>
        <w:tc>
          <w:tcPr>
            <w:tcW w:type="dxa" w:w="3041"/>
            <w:shd w:val="clear" w:color="auto" w:fill="FFF8E6"/>
          </w:tcPr>
          <w:p>
            <w:r>
              <w:rPr>
                <w:rFonts w:ascii="Calibri" w:hAnsi="Calibri"/>
                <w:b w:val="0"/>
                <w:color w:val="35353A"/>
                <w:sz w:val="18"/>
              </w:rPr>
              <w:t>Dimensión de moneda para análisis multimoneda. COP como moneda local y USD/EUR como monedas de grupo/funcional.</w:t>
            </w:r>
          </w:p>
        </w:tc>
        <w:tc>
          <w:tcPr>
            <w:tcW w:type="dxa" w:w="3041"/>
            <w:shd w:val="clear" w:color="auto" w:fill="FFF8E6"/>
          </w:tcPr>
          <w:p>
            <w:r>
              <w:rPr>
                <w:rFonts w:ascii="Calibri" w:hAnsi="Calibri"/>
                <w:b w:val="0"/>
                <w:color w:val="35353A"/>
                <w:sz w:val="18"/>
              </w:rPr>
              <w:t>COP, USD, EUR</w:t>
            </w:r>
          </w:p>
        </w:tc>
      </w:tr>
      <w:tr>
        <w:tc>
          <w:tcPr>
            <w:tcW w:type="dxa" w:w="3041"/>
            <w:shd w:val="clear" w:color="auto" w:fill="FFF8E6"/>
          </w:tcPr>
          <w:p>
            <w:r>
              <w:rPr>
                <w:rFonts w:ascii="Calibri" w:hAnsi="Calibri"/>
                <w:b/>
                <w:color w:val="00417A"/>
                <w:sz w:val="18"/>
              </w:rPr>
              <w:t>Auditoría (AUDITORIA)</w:t>
            </w:r>
          </w:p>
        </w:tc>
        <w:tc>
          <w:tcPr>
            <w:tcW w:type="dxa" w:w="3041"/>
            <w:shd w:val="clear" w:color="auto" w:fill="FFF8E6"/>
          </w:tcPr>
          <w:p>
            <w:r>
              <w:rPr>
                <w:rFonts w:ascii="Calibri" w:hAnsi="Calibri"/>
                <w:b w:val="0"/>
                <w:color w:val="35353A"/>
                <w:sz w:val="18"/>
              </w:rPr>
              <w:t>Dimensión de control y trazabilidad de carga de datos. Permite identificar el origen y la fecha de carga de cada registro.</w:t>
            </w:r>
          </w:p>
        </w:tc>
        <w:tc>
          <w:tcPr>
            <w:tcW w:type="dxa" w:w="3041"/>
            <w:shd w:val="clear" w:color="auto" w:fill="FFF8E6"/>
          </w:tcPr>
          <w:p>
            <w:r>
              <w:rPr>
                <w:rFonts w:ascii="Calibri" w:hAnsi="Calibri"/>
                <w:b w:val="0"/>
                <w:color w:val="35353A"/>
                <w:sz w:val="18"/>
              </w:rPr>
              <w:t>Timestamp de carga, fuente de origen</w:t>
            </w:r>
          </w:p>
        </w:tc>
      </w:tr>
      <w:tr>
        <w:tc>
          <w:tcPr>
            <w:tcW w:type="dxa" w:w="3041"/>
            <w:shd w:val="clear" w:color="auto" w:fill="FFF8E6"/>
          </w:tcPr>
          <w:p>
            <w:r>
              <w:rPr>
                <w:rFonts w:ascii="Calibri" w:hAnsi="Calibri"/>
                <w:b/>
                <w:color w:val="00417A"/>
                <w:sz w:val="18"/>
              </w:rPr>
              <w:t>Versión (VERSION)</w:t>
            </w:r>
          </w:p>
        </w:tc>
        <w:tc>
          <w:tcPr>
            <w:tcW w:type="dxa" w:w="3041"/>
            <w:shd w:val="clear" w:color="auto" w:fill="FFF8E6"/>
          </w:tcPr>
          <w:p>
            <w:r>
              <w:rPr>
                <w:rFonts w:ascii="Calibri" w:hAnsi="Calibri"/>
                <w:b w:val="0"/>
                <w:color w:val="35353A"/>
                <w:sz w:val="18"/>
              </w:rPr>
              <w:t>Dimensión estándar de SAC para versionamiento de datos: Real, Plan, Forecast, Budget. Dimensión compartida en todos los modelos.</w:t>
            </w:r>
          </w:p>
        </w:tc>
        <w:tc>
          <w:tcPr>
            <w:tcW w:type="dxa" w:w="3041"/>
            <w:shd w:val="clear" w:color="auto" w:fill="FFF8E6"/>
          </w:tcPr>
          <w:p>
            <w:r>
              <w:rPr>
                <w:rFonts w:ascii="Calibri" w:hAnsi="Calibri"/>
                <w:b w:val="0"/>
                <w:color w:val="35353A"/>
                <w:sz w:val="18"/>
              </w:rPr>
              <w:t>Real, Plan Anual, Forecast Mensual, Budget</w:t>
            </w:r>
          </w:p>
        </w:tc>
      </w:tr>
      <w:tr>
        <w:tc>
          <w:tcPr>
            <w:tcW w:type="dxa" w:w="3041"/>
            <w:shd w:val="clear" w:color="auto" w:fill="FFF8E6"/>
          </w:tcPr>
          <w:p>
            <w:r>
              <w:rPr>
                <w:rFonts w:ascii="Calibri" w:hAnsi="Calibri"/>
                <w:b/>
                <w:color w:val="00417A"/>
                <w:sz w:val="18"/>
              </w:rPr>
              <w:t>Fecha (DATE)</w:t>
            </w:r>
          </w:p>
        </w:tc>
        <w:tc>
          <w:tcPr>
            <w:tcW w:type="dxa" w:w="3041"/>
            <w:shd w:val="clear" w:color="auto" w:fill="FFF8E6"/>
          </w:tcPr>
          <w:p>
            <w:r>
              <w:rPr>
                <w:rFonts w:ascii="Calibri" w:hAnsi="Calibri"/>
                <w:b w:val="0"/>
                <w:color w:val="35353A"/>
                <w:sz w:val="18"/>
              </w:rPr>
              <w:t>Dimensión temporal estándar SAC. Soporta granularidad año/mes. Dimensión compartida en todos los modelos.</w:t>
            </w:r>
          </w:p>
        </w:tc>
        <w:tc>
          <w:tcPr>
            <w:tcW w:type="dxa" w:w="3041"/>
            <w:shd w:val="clear" w:color="auto" w:fill="FFF8E6"/>
          </w:tcPr>
          <w:p>
            <w:r>
              <w:rPr>
                <w:rFonts w:ascii="Calibri" w:hAnsi="Calibri"/>
                <w:b w:val="0"/>
                <w:color w:val="35353A"/>
                <w:sz w:val="18"/>
              </w:rPr>
              <w:t>Año, Trimestre, Mes, Semana</w:t>
            </w:r>
          </w:p>
        </w:tc>
      </w:tr>
      <w:tr>
        <w:tc>
          <w:tcPr>
            <w:tcW w:type="dxa" w:w="3041"/>
            <w:shd w:val="clear" w:color="auto" w:fill="F5F5F5"/>
          </w:tcPr>
          <w:p>
            <w:r>
              <w:rPr>
                <w:rFonts w:ascii="Calibri" w:hAnsi="Calibri"/>
                <w:b/>
                <w:color w:val="00417A"/>
                <w:sz w:val="18"/>
              </w:rPr>
              <w:t>Ratio (RATIO)</w:t>
            </w:r>
          </w:p>
        </w:tc>
        <w:tc>
          <w:tcPr>
            <w:tcW w:type="dxa" w:w="3041"/>
            <w:shd w:val="clear" w:color="auto" w:fill="F5F5F5"/>
          </w:tcPr>
          <w:p>
            <w:r>
              <w:rPr>
                <w:rFonts w:ascii="Calibri" w:hAnsi="Calibri"/>
                <w:b w:val="0"/>
                <w:color w:val="35353A"/>
                <w:sz w:val="18"/>
              </w:rPr>
              <w:t>Dimensión para el análisis de ratios precio/volumen en el modelo de ingresos. Permite descomponer variaciones de ingresos.</w:t>
            </w:r>
          </w:p>
        </w:tc>
        <w:tc>
          <w:tcPr>
            <w:tcW w:type="dxa" w:w="3041"/>
            <w:shd w:val="clear" w:color="auto" w:fill="F5F5F5"/>
          </w:tcPr>
          <w:p>
            <w:r>
              <w:rPr>
                <w:rFonts w:ascii="Calibri" w:hAnsi="Calibri"/>
                <w:b w:val="0"/>
                <w:color w:val="35353A"/>
                <w:sz w:val="18"/>
              </w:rPr>
              <w:t>Precio Unitario, Volumen, Mix</w:t>
            </w:r>
          </w:p>
        </w:tc>
      </w:tr>
    </w:tbl>
    <w:p/>
    <w:p>
      <w:r>
        <w:br w:type="page"/>
      </w:r>
    </w:p>
    <w:p>
      <w:pPr>
        <w:spacing w:before="240" w:after="80"/>
        <w:pBdr>
          <w:left w:val="single" w:sz="24" w:color="00417A"/>
        </w:pBdr>
        <w:ind w:left="283"/>
      </w:pPr>
      <w:r>
        <w:rPr>
          <w:rFonts w:ascii="Calibri" w:hAnsi="Calibri"/>
          <w:b/>
          <w:color w:val="F0AB00"/>
          <w:sz w:val="28"/>
        </w:rPr>
        <w:t xml:space="preserve">5.  </w:t>
      </w:r>
      <w:r>
        <w:rPr>
          <w:rFonts w:ascii="Calibri" w:hAnsi="Calibri"/>
          <w:b/>
          <w:color w:val="00417A"/>
          <w:sz w:val="28"/>
        </w:rPr>
        <w:t>Diseño y configuración de soluciones</w:t>
      </w:r>
    </w:p>
    <w:p>
      <w:pPr>
        <w:spacing w:before="40" w:after="40"/>
        <w:pBdr>
          <w:bottom w:val="single" w:sz="6" w:color="00417A"/>
        </w:pBdr>
      </w:pPr>
    </w:p>
    <w:p>
      <w:pPr>
        <w:spacing w:before="160" w:after="60"/>
        <w:ind w:left="283"/>
      </w:pPr>
      <w:r>
        <w:rPr>
          <w:rFonts w:ascii="Calibri" w:hAnsi="Calibri"/>
          <w:b/>
          <w:color w:val="0070BF"/>
          <w:sz w:val="22"/>
        </w:rPr>
        <w:t xml:space="preserve">5.1.  </w:t>
      </w:r>
      <w:r>
        <w:rPr>
          <w:rFonts w:ascii="Calibri" w:hAnsi="Calibri"/>
          <w:b/>
          <w:color w:val="35353A"/>
          <w:sz w:val="22"/>
        </w:rPr>
        <w:t>Alcance del proceso de solución</w:t>
      </w:r>
    </w:p>
    <w:p>
      <w:pPr>
        <w:spacing w:before="60" w:after="60"/>
      </w:pPr>
      <w:r>
        <w:rPr>
          <w:rFonts w:ascii="Calibri" w:hAnsi="Calibri"/>
          <w:color w:val="35353A"/>
          <w:sz w:val="20"/>
        </w:rPr>
        <w:t>El siguiente flujograma representa la arquitectura completa de los modelos SAP Analytics Cloud implementados para Fanalca S.A., mostrando las fuentes de datos, los tres modelos analíticos, sus dimensiones y la capa de presentación (Stories y Dashboards):</w:t>
      </w:r>
    </w:p>
    <w:p>
      <w:pPr>
        <w:jc w:val="center"/>
      </w:pPr>
      <w:r>
        <w:drawing>
          <wp:inline xmlns:a="http://schemas.openxmlformats.org/drawingml/2006/main" xmlns:pic="http://schemas.openxmlformats.org/drawingml/2006/picture">
            <wp:extent cx="5669280" cy="428872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4288729"/>
                    </a:xfrm>
                    <a:prstGeom prst="rect"/>
                  </pic:spPr>
                </pic:pic>
              </a:graphicData>
            </a:graphic>
          </wp:inline>
        </w:drawing>
      </w:r>
    </w:p>
    <w:p>
      <w:pPr>
        <w:jc w:val="center"/>
      </w:pPr>
      <w:r>
        <w:rPr>
          <w:i/>
          <w:color w:val="35353A"/>
          <w:sz w:val="18"/>
        </w:rPr>
        <w:t>Figura 1. Arquitectura de Modelos SAP Analytics Cloud – Fanalca S.A.</w:t>
      </w:r>
    </w:p>
    <w:p/>
    <w:p>
      <w:pPr>
        <w:spacing w:before="60" w:after="60"/>
      </w:pPr>
      <w:r>
        <w:rPr>
          <w:rFonts w:ascii="Calibri" w:hAnsi="Calibri"/>
          <w:color w:val="35353A"/>
          <w:sz w:val="20"/>
        </w:rPr>
        <w:t>Los tres modelos SAC definidos para Fanalca son modelos de tipo Planning (habilitado para escritura), lo que permite su uso tanto para carga de datos reales desde SAP ERP como para la captura de datos de planeación directamente en SAC. A continuación se describe cada modelo:</w:t>
      </w:r>
    </w:p>
    <w:p>
      <w:pPr>
        <w:spacing w:before="160" w:after="40"/>
        <w:shd w:val="clear" w:color="auto" w:fill="00417A"/>
      </w:pPr>
      <w:r>
        <w:rPr>
          <w:rFonts w:ascii="Calibri" w:hAnsi="Calibri"/>
          <w:b/>
          <w:color w:val="FFFFFF"/>
          <w:sz w:val="22"/>
        </w:rPr>
        <w:t xml:space="preserve">  Modelo de Ingresos Fanalca  </w:t>
      </w:r>
    </w:p>
    <w:p>
      <w:pPr>
        <w:spacing w:before="20" w:after="40"/>
        <w:ind w:left="283"/>
      </w:pPr>
      <w:r>
        <w:rPr>
          <w:rFonts w:ascii="Calibri" w:hAnsi="Calibri"/>
          <w:i/>
          <w:color w:val="00417A"/>
          <w:sz w:val="18"/>
        </w:rPr>
        <w:t>Tipo: Planning Model (Read/Write)   |   Medida principal: Importe — Decimal</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417A"/>
          </w:tcPr>
          <w:p>
            <w:pPr>
              <w:jc w:val="center"/>
            </w:pPr>
            <w:r>
              <w:rPr>
                <w:rFonts w:ascii="Calibri" w:hAnsi="Calibri"/>
                <w:b/>
                <w:color w:val="FFFFFF"/>
                <w:sz w:val="18"/>
              </w:rPr>
              <w:t>Dimensión</w:t>
            </w:r>
          </w:p>
        </w:tc>
        <w:tc>
          <w:tcPr>
            <w:tcW w:type="dxa" w:w="3041"/>
            <w:shd w:val="clear" w:color="auto" w:fill="00417A"/>
          </w:tcPr>
          <w:p>
            <w:pPr>
              <w:jc w:val="center"/>
            </w:pPr>
            <w:r>
              <w:rPr>
                <w:rFonts w:ascii="Calibri" w:hAnsi="Calibri"/>
                <w:b/>
                <w:color w:val="FFFFFF"/>
                <w:sz w:val="18"/>
              </w:rPr>
              <w:t>Tipo</w:t>
            </w:r>
          </w:p>
        </w:tc>
        <w:tc>
          <w:tcPr>
            <w:tcW w:type="dxa" w:w="3041"/>
            <w:shd w:val="clear" w:color="auto" w:fill="00417A"/>
          </w:tcPr>
          <w:p>
            <w:pPr>
              <w:jc w:val="center"/>
            </w:pPr>
            <w:r>
              <w:rPr>
                <w:rFonts w:ascii="Calibri" w:hAnsi="Calibri"/>
                <w:b/>
                <w:color w:val="FFFFFF"/>
                <w:sz w:val="18"/>
              </w:rPr>
              <w:t>Descripción / Equivalente SAP</w:t>
            </w:r>
          </w:p>
        </w:tc>
      </w:tr>
      <w:tr>
        <w:tc>
          <w:tcPr>
            <w:tcW w:type="dxa" w:w="3041"/>
            <w:shd w:val="clear" w:color="auto" w:fill="FFF8E6"/>
          </w:tcPr>
          <w:p>
            <w:r>
              <w:rPr>
                <w:rFonts w:ascii="Calibri" w:hAnsi="Calibri"/>
                <w:b/>
                <w:color w:val="00417A"/>
                <w:sz w:val="18"/>
              </w:rPr>
              <w:t>Version</w:t>
            </w:r>
          </w:p>
        </w:tc>
        <w:tc>
          <w:tcPr>
            <w:tcW w:type="dxa" w:w="3041"/>
            <w:shd w:val="clear" w:color="auto" w:fill="FFF8E6"/>
          </w:tcPr>
          <w:p>
            <w:r>
              <w:rPr>
                <w:rFonts w:ascii="Calibri" w:hAnsi="Calibri"/>
                <w:b w:val="0"/>
                <w:color w:val="35353A"/>
                <w:sz w:val="18"/>
              </w:rPr>
              <w:t>Estándar SAC</w:t>
            </w:r>
          </w:p>
        </w:tc>
        <w:tc>
          <w:tcPr>
            <w:tcW w:type="dxa" w:w="3041"/>
            <w:shd w:val="clear" w:color="auto" w:fill="FFF8E6"/>
          </w:tcPr>
          <w:p>
            <w:r>
              <w:rPr>
                <w:rFonts w:ascii="Calibri" w:hAnsi="Calibri"/>
                <w:b w:val="0"/>
                <w:color w:val="35353A"/>
                <w:sz w:val="18"/>
              </w:rPr>
              <w:t>Versión de datos (Real/Plan/Forecast)</w:t>
            </w:r>
          </w:p>
        </w:tc>
      </w:tr>
      <w:tr>
        <w:tc>
          <w:tcPr>
            <w:tcW w:type="dxa" w:w="3041"/>
            <w:shd w:val="clear" w:color="auto" w:fill="FFFFFF"/>
          </w:tcPr>
          <w:p>
            <w:r>
              <w:rPr>
                <w:rFonts w:ascii="Calibri" w:hAnsi="Calibri"/>
                <w:b/>
                <w:color w:val="00417A"/>
                <w:sz w:val="18"/>
              </w:rPr>
              <w:t>RATIO</w:t>
            </w:r>
          </w:p>
        </w:tc>
        <w:tc>
          <w:tcPr>
            <w:tcW w:type="dxa" w:w="3041"/>
            <w:shd w:val="clear" w:color="auto" w:fill="FFFFFF"/>
          </w:tcPr>
          <w:p>
            <w:r>
              <w:rPr>
                <w:rFonts w:ascii="Calibri" w:hAnsi="Calibri"/>
                <w:b w:val="0"/>
                <w:color w:val="35353A"/>
                <w:sz w:val="18"/>
              </w:rPr>
              <w:t>Genérica</w:t>
            </w:r>
          </w:p>
        </w:tc>
        <w:tc>
          <w:tcPr>
            <w:tcW w:type="dxa" w:w="3041"/>
            <w:shd w:val="clear" w:color="auto" w:fill="FFFFFF"/>
          </w:tcPr>
          <w:p>
            <w:r>
              <w:rPr>
                <w:rFonts w:ascii="Calibri" w:hAnsi="Calibri"/>
                <w:b w:val="0"/>
                <w:color w:val="35353A"/>
                <w:sz w:val="18"/>
              </w:rPr>
              <w:t>Ratio precio/volumen para análisis de variaciones</w:t>
            </w:r>
          </w:p>
        </w:tc>
      </w:tr>
      <w:tr>
        <w:tc>
          <w:tcPr>
            <w:tcW w:type="dxa" w:w="3041"/>
            <w:shd w:val="clear" w:color="auto" w:fill="FFF8E6"/>
          </w:tcPr>
          <w:p>
            <w:r>
              <w:rPr>
                <w:rFonts w:ascii="Calibri" w:hAnsi="Calibri"/>
                <w:b/>
                <w:color w:val="00417A"/>
                <w:sz w:val="18"/>
              </w:rPr>
              <w:t>Date</w:t>
            </w:r>
          </w:p>
        </w:tc>
        <w:tc>
          <w:tcPr>
            <w:tcW w:type="dxa" w:w="3041"/>
            <w:shd w:val="clear" w:color="auto" w:fill="FFF8E6"/>
          </w:tcPr>
          <w:p>
            <w:r>
              <w:rPr>
                <w:rFonts w:ascii="Calibri" w:hAnsi="Calibri"/>
                <w:b w:val="0"/>
                <w:color w:val="35353A"/>
                <w:sz w:val="18"/>
              </w:rPr>
              <w:t>Estándar SAC</w:t>
            </w:r>
          </w:p>
        </w:tc>
        <w:tc>
          <w:tcPr>
            <w:tcW w:type="dxa" w:w="3041"/>
            <w:shd w:val="clear" w:color="auto" w:fill="FFF8E6"/>
          </w:tcPr>
          <w:p>
            <w:r>
              <w:rPr>
                <w:rFonts w:ascii="Calibri" w:hAnsi="Calibri"/>
                <w:b w:val="0"/>
                <w:color w:val="35353A"/>
                <w:sz w:val="18"/>
              </w:rPr>
              <w:t>Dimensión temporal (Año/Mes)</w:t>
            </w:r>
          </w:p>
        </w:tc>
      </w:tr>
      <w:tr>
        <w:tc>
          <w:tcPr>
            <w:tcW w:type="dxa" w:w="3041"/>
            <w:shd w:val="clear" w:color="auto" w:fill="FFF8E6"/>
          </w:tcPr>
          <w:p>
            <w:r>
              <w:rPr>
                <w:rFonts w:ascii="Calibri" w:hAnsi="Calibri"/>
                <w:b/>
                <w:color w:val="00417A"/>
                <w:sz w:val="18"/>
              </w:rPr>
              <w:t>AUDITORIA</w:t>
            </w:r>
          </w:p>
        </w:tc>
        <w:tc>
          <w:tcPr>
            <w:tcW w:type="dxa" w:w="3041"/>
            <w:shd w:val="clear" w:color="auto" w:fill="FFF8E6"/>
          </w:tcPr>
          <w:p>
            <w:r>
              <w:rPr>
                <w:rFonts w:ascii="Calibri" w:hAnsi="Calibri"/>
                <w:b w:val="0"/>
                <w:color w:val="35353A"/>
                <w:sz w:val="18"/>
              </w:rPr>
              <w:t>Genérica</w:t>
            </w:r>
          </w:p>
        </w:tc>
        <w:tc>
          <w:tcPr>
            <w:tcW w:type="dxa" w:w="3041"/>
            <w:shd w:val="clear" w:color="auto" w:fill="FFF8E6"/>
          </w:tcPr>
          <w:p>
            <w:r>
              <w:rPr>
                <w:rFonts w:ascii="Calibri" w:hAnsi="Calibri"/>
                <w:b w:val="0"/>
                <w:color w:val="35353A"/>
                <w:sz w:val="18"/>
              </w:rPr>
              <w:t>Control y trazabilidad de carga de datos</w:t>
            </w:r>
          </w:p>
        </w:tc>
      </w:tr>
      <w:tr>
        <w:tc>
          <w:tcPr>
            <w:tcW w:type="dxa" w:w="3041"/>
            <w:shd w:val="clear" w:color="auto" w:fill="FFF8E6"/>
          </w:tcPr>
          <w:p>
            <w:r>
              <w:rPr>
                <w:rFonts w:ascii="Calibri" w:hAnsi="Calibri"/>
                <w:b/>
                <w:color w:val="00417A"/>
                <w:sz w:val="18"/>
              </w:rPr>
              <w:t>CEBES</w:t>
            </w:r>
          </w:p>
        </w:tc>
        <w:tc>
          <w:tcPr>
            <w:tcW w:type="dxa" w:w="3041"/>
            <w:shd w:val="clear" w:color="auto" w:fill="FFF8E6"/>
          </w:tcPr>
          <w:p>
            <w:r>
              <w:rPr>
                <w:rFonts w:ascii="Calibri" w:hAnsi="Calibri"/>
                <w:b w:val="0"/>
                <w:color w:val="35353A"/>
                <w:sz w:val="18"/>
              </w:rPr>
              <w:t>Genérica</w:t>
            </w:r>
          </w:p>
        </w:tc>
        <w:tc>
          <w:tcPr>
            <w:tcW w:type="dxa" w:w="3041"/>
            <w:shd w:val="clear" w:color="auto" w:fill="FFF8E6"/>
          </w:tcPr>
          <w:p>
            <w:r>
              <w:rPr>
                <w:rFonts w:ascii="Calibri" w:hAnsi="Calibri"/>
                <w:b w:val="0"/>
                <w:color w:val="35353A"/>
                <w:sz w:val="18"/>
              </w:rPr>
              <w:t>Centro de Beneficio / Profit Center SAP CO</w:t>
            </w:r>
          </w:p>
        </w:tc>
      </w:tr>
      <w:tr>
        <w:tc>
          <w:tcPr>
            <w:tcW w:type="dxa" w:w="3041"/>
            <w:shd w:val="clear" w:color="auto" w:fill="FFFFFF"/>
          </w:tcPr>
          <w:p>
            <w:r>
              <w:rPr>
                <w:rFonts w:ascii="Calibri" w:hAnsi="Calibri"/>
                <w:b/>
                <w:color w:val="00417A"/>
                <w:sz w:val="18"/>
              </w:rPr>
              <w:t>CLIENTES</w:t>
            </w:r>
          </w:p>
        </w:tc>
        <w:tc>
          <w:tcPr>
            <w:tcW w:type="dxa" w:w="3041"/>
            <w:shd w:val="clear" w:color="auto" w:fill="FFFFFF"/>
          </w:tcPr>
          <w:p>
            <w:r>
              <w:rPr>
                <w:rFonts w:ascii="Calibri" w:hAnsi="Calibri"/>
                <w:b w:val="0"/>
                <w:color w:val="35353A"/>
                <w:sz w:val="18"/>
              </w:rPr>
              <w:t>Genérica</w:t>
            </w:r>
          </w:p>
        </w:tc>
        <w:tc>
          <w:tcPr>
            <w:tcW w:type="dxa" w:w="3041"/>
            <w:shd w:val="clear" w:color="auto" w:fill="FFFFFF"/>
          </w:tcPr>
          <w:p>
            <w:r>
              <w:rPr>
                <w:rFonts w:ascii="Calibri" w:hAnsi="Calibri"/>
                <w:b w:val="0"/>
                <w:color w:val="35353A"/>
                <w:sz w:val="18"/>
              </w:rPr>
              <w:t>Maestro de clientes SAP SD</w:t>
            </w:r>
          </w:p>
        </w:tc>
      </w:tr>
      <w:tr>
        <w:tc>
          <w:tcPr>
            <w:tcW w:type="dxa" w:w="3041"/>
            <w:shd w:val="clear" w:color="auto" w:fill="FFF8E6"/>
          </w:tcPr>
          <w:p>
            <w:r>
              <w:rPr>
                <w:rFonts w:ascii="Calibri" w:hAnsi="Calibri"/>
                <w:b/>
                <w:color w:val="00417A"/>
                <w:sz w:val="18"/>
              </w:rPr>
              <w:t>MONEDA</w:t>
            </w:r>
          </w:p>
        </w:tc>
        <w:tc>
          <w:tcPr>
            <w:tcW w:type="dxa" w:w="3041"/>
            <w:shd w:val="clear" w:color="auto" w:fill="FFF8E6"/>
          </w:tcPr>
          <w:p>
            <w:r>
              <w:rPr>
                <w:rFonts w:ascii="Calibri" w:hAnsi="Calibri"/>
                <w:b w:val="0"/>
                <w:color w:val="35353A"/>
                <w:sz w:val="18"/>
              </w:rPr>
              <w:t>Genérica</w:t>
            </w:r>
          </w:p>
        </w:tc>
        <w:tc>
          <w:tcPr>
            <w:tcW w:type="dxa" w:w="3041"/>
            <w:shd w:val="clear" w:color="auto" w:fill="FFF8E6"/>
          </w:tcPr>
          <w:p>
            <w:r>
              <w:rPr>
                <w:rFonts w:ascii="Calibri" w:hAnsi="Calibri"/>
                <w:b w:val="0"/>
                <w:color w:val="35353A"/>
                <w:sz w:val="18"/>
              </w:rPr>
              <w:t>Dimensión de moneda (COP/USD/EUR)</w:t>
            </w:r>
          </w:p>
        </w:tc>
      </w:tr>
      <w:tr>
        <w:tc>
          <w:tcPr>
            <w:tcW w:type="dxa" w:w="3041"/>
            <w:shd w:val="clear" w:color="auto" w:fill="FFFFFF"/>
          </w:tcPr>
          <w:p>
            <w:r>
              <w:rPr>
                <w:rFonts w:ascii="Calibri" w:hAnsi="Calibri"/>
                <w:b/>
                <w:color w:val="00417A"/>
                <w:sz w:val="18"/>
              </w:rPr>
              <w:t>REFERENCIA</w:t>
            </w:r>
          </w:p>
        </w:tc>
        <w:tc>
          <w:tcPr>
            <w:tcW w:type="dxa" w:w="3041"/>
            <w:shd w:val="clear" w:color="auto" w:fill="FFFFFF"/>
          </w:tcPr>
          <w:p>
            <w:r>
              <w:rPr>
                <w:rFonts w:ascii="Calibri" w:hAnsi="Calibri"/>
                <w:b w:val="0"/>
                <w:color w:val="35353A"/>
                <w:sz w:val="18"/>
              </w:rPr>
              <w:t>Genérica</w:t>
            </w:r>
          </w:p>
        </w:tc>
        <w:tc>
          <w:tcPr>
            <w:tcW w:type="dxa" w:w="3041"/>
            <w:shd w:val="clear" w:color="auto" w:fill="FFFFFF"/>
          </w:tcPr>
          <w:p>
            <w:r>
              <w:rPr>
                <w:rFonts w:ascii="Calibri" w:hAnsi="Calibri"/>
                <w:b w:val="0"/>
                <w:color w:val="35353A"/>
                <w:sz w:val="18"/>
              </w:rPr>
              <w:t>Referencia / SKU de producto</w:t>
            </w:r>
          </w:p>
        </w:tc>
      </w:tr>
      <w:tr>
        <w:tc>
          <w:tcPr>
            <w:tcW w:type="dxa" w:w="3041"/>
            <w:shd w:val="clear" w:color="auto" w:fill="FFF8E6"/>
          </w:tcPr>
          <w:p>
            <w:r>
              <w:rPr>
                <w:rFonts w:ascii="Calibri" w:hAnsi="Calibri"/>
                <w:b/>
                <w:color w:val="00417A"/>
                <w:sz w:val="18"/>
              </w:rPr>
              <w:t>SOCIEDAD</w:t>
            </w:r>
          </w:p>
        </w:tc>
        <w:tc>
          <w:tcPr>
            <w:tcW w:type="dxa" w:w="3041"/>
            <w:shd w:val="clear" w:color="auto" w:fill="FFF8E6"/>
          </w:tcPr>
          <w:p>
            <w:r>
              <w:rPr>
                <w:rFonts w:ascii="Calibri" w:hAnsi="Calibri"/>
                <w:b w:val="0"/>
                <w:color w:val="35353A"/>
                <w:sz w:val="18"/>
              </w:rPr>
              <w:t>Genérica</w:t>
            </w:r>
          </w:p>
        </w:tc>
        <w:tc>
          <w:tcPr>
            <w:tcW w:type="dxa" w:w="3041"/>
            <w:shd w:val="clear" w:color="auto" w:fill="FFF8E6"/>
          </w:tcPr>
          <w:p>
            <w:r>
              <w:rPr>
                <w:rFonts w:ascii="Calibri" w:hAnsi="Calibri"/>
                <w:b w:val="0"/>
                <w:color w:val="35353A"/>
                <w:sz w:val="18"/>
              </w:rPr>
              <w:t>Sociedad / Company Code SAP FI</w:t>
            </w:r>
          </w:p>
        </w:tc>
      </w:tr>
    </w:tbl>
    <w:p/>
    <w:p>
      <w:pPr>
        <w:spacing w:before="160" w:after="40"/>
        <w:shd w:val="clear" w:color="auto" w:fill="107454"/>
      </w:pPr>
      <w:r>
        <w:rPr>
          <w:rFonts w:ascii="Calibri" w:hAnsi="Calibri"/>
          <w:b/>
          <w:color w:val="FFFFFF"/>
          <w:sz w:val="22"/>
        </w:rPr>
        <w:t xml:space="preserve">  Modelo EEFF Fanalca  </w:t>
      </w:r>
    </w:p>
    <w:p>
      <w:pPr>
        <w:spacing w:before="20" w:after="40"/>
        <w:ind w:left="283"/>
      </w:pPr>
      <w:r>
        <w:rPr>
          <w:rFonts w:ascii="Calibri" w:hAnsi="Calibri"/>
          <w:i/>
          <w:color w:val="107454"/>
          <w:sz w:val="18"/>
        </w:rPr>
        <w:t>Tipo: Planning Model (Read/Write)   |   Medida principal: Importe — Decimal</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07454"/>
          </w:tcPr>
          <w:p>
            <w:pPr>
              <w:jc w:val="center"/>
            </w:pPr>
            <w:r>
              <w:rPr>
                <w:rFonts w:ascii="Calibri" w:hAnsi="Calibri"/>
                <w:b/>
                <w:color w:val="FFFFFF"/>
                <w:sz w:val="18"/>
              </w:rPr>
              <w:t>Dimensión</w:t>
            </w:r>
          </w:p>
        </w:tc>
        <w:tc>
          <w:tcPr>
            <w:tcW w:type="dxa" w:w="3041"/>
            <w:shd w:val="clear" w:color="auto" w:fill="107454"/>
          </w:tcPr>
          <w:p>
            <w:pPr>
              <w:jc w:val="center"/>
            </w:pPr>
            <w:r>
              <w:rPr>
                <w:rFonts w:ascii="Calibri" w:hAnsi="Calibri"/>
                <w:b/>
                <w:color w:val="FFFFFF"/>
                <w:sz w:val="18"/>
              </w:rPr>
              <w:t>Tipo</w:t>
            </w:r>
          </w:p>
        </w:tc>
        <w:tc>
          <w:tcPr>
            <w:tcW w:type="dxa" w:w="3041"/>
            <w:shd w:val="clear" w:color="auto" w:fill="107454"/>
          </w:tcPr>
          <w:p>
            <w:pPr>
              <w:jc w:val="center"/>
            </w:pPr>
            <w:r>
              <w:rPr>
                <w:rFonts w:ascii="Calibri" w:hAnsi="Calibri"/>
                <w:b/>
                <w:color w:val="FFFFFF"/>
                <w:sz w:val="18"/>
              </w:rPr>
              <w:t>Descripción / Equivalente SAP</w:t>
            </w:r>
          </w:p>
        </w:tc>
      </w:tr>
      <w:tr>
        <w:tc>
          <w:tcPr>
            <w:tcW w:type="dxa" w:w="3041"/>
            <w:shd w:val="clear" w:color="auto" w:fill="FFF8E6"/>
          </w:tcPr>
          <w:p>
            <w:r>
              <w:rPr>
                <w:rFonts w:ascii="Calibri" w:hAnsi="Calibri"/>
                <w:b/>
                <w:color w:val="107454"/>
                <w:sz w:val="18"/>
              </w:rPr>
              <w:t>Version</w:t>
            </w:r>
          </w:p>
        </w:tc>
        <w:tc>
          <w:tcPr>
            <w:tcW w:type="dxa" w:w="3041"/>
            <w:shd w:val="clear" w:color="auto" w:fill="FFF8E6"/>
          </w:tcPr>
          <w:p>
            <w:r>
              <w:rPr>
                <w:rFonts w:ascii="Calibri" w:hAnsi="Calibri"/>
                <w:b w:val="0"/>
                <w:color w:val="35353A"/>
                <w:sz w:val="18"/>
              </w:rPr>
              <w:t>Estándar SAC</w:t>
            </w:r>
          </w:p>
        </w:tc>
        <w:tc>
          <w:tcPr>
            <w:tcW w:type="dxa" w:w="3041"/>
            <w:shd w:val="clear" w:color="auto" w:fill="FFF8E6"/>
          </w:tcPr>
          <w:p>
            <w:r>
              <w:rPr>
                <w:rFonts w:ascii="Calibri" w:hAnsi="Calibri"/>
                <w:b w:val="0"/>
                <w:color w:val="35353A"/>
                <w:sz w:val="18"/>
              </w:rPr>
              <w:t>Versión de datos (Real/Plan/Forecast)</w:t>
            </w:r>
          </w:p>
        </w:tc>
      </w:tr>
      <w:tr>
        <w:tc>
          <w:tcPr>
            <w:tcW w:type="dxa" w:w="3041"/>
            <w:shd w:val="clear" w:color="auto" w:fill="FFFFFF"/>
          </w:tcPr>
          <w:p>
            <w:r>
              <w:rPr>
                <w:rFonts w:ascii="Calibri" w:hAnsi="Calibri"/>
                <w:b/>
                <w:color w:val="107454"/>
                <w:sz w:val="18"/>
              </w:rPr>
              <w:t>CUENTA</w:t>
            </w:r>
          </w:p>
        </w:tc>
        <w:tc>
          <w:tcPr>
            <w:tcW w:type="dxa" w:w="3041"/>
            <w:shd w:val="clear" w:color="auto" w:fill="FFFFFF"/>
          </w:tcPr>
          <w:p>
            <w:r>
              <w:rPr>
                <w:rFonts w:ascii="Calibri" w:hAnsi="Calibri"/>
                <w:b w:val="0"/>
                <w:color w:val="35353A"/>
                <w:sz w:val="18"/>
              </w:rPr>
              <w:t>Genérica</w:t>
            </w:r>
          </w:p>
        </w:tc>
        <w:tc>
          <w:tcPr>
            <w:tcW w:type="dxa" w:w="3041"/>
            <w:shd w:val="clear" w:color="auto" w:fill="FFFFFF"/>
          </w:tcPr>
          <w:p>
            <w:r>
              <w:rPr>
                <w:rFonts w:ascii="Calibri" w:hAnsi="Calibri"/>
                <w:b w:val="0"/>
                <w:color w:val="35353A"/>
                <w:sz w:val="18"/>
              </w:rPr>
              <w:t>Cuenta contable del Plan de Cuentas SAP FI</w:t>
            </w:r>
          </w:p>
        </w:tc>
      </w:tr>
      <w:tr>
        <w:tc>
          <w:tcPr>
            <w:tcW w:type="dxa" w:w="3041"/>
            <w:shd w:val="clear" w:color="auto" w:fill="FFF8E6"/>
          </w:tcPr>
          <w:p>
            <w:r>
              <w:rPr>
                <w:rFonts w:ascii="Calibri" w:hAnsi="Calibri"/>
                <w:b/>
                <w:color w:val="107454"/>
                <w:sz w:val="18"/>
              </w:rPr>
              <w:t>Date</w:t>
            </w:r>
          </w:p>
        </w:tc>
        <w:tc>
          <w:tcPr>
            <w:tcW w:type="dxa" w:w="3041"/>
            <w:shd w:val="clear" w:color="auto" w:fill="FFF8E6"/>
          </w:tcPr>
          <w:p>
            <w:r>
              <w:rPr>
                <w:rFonts w:ascii="Calibri" w:hAnsi="Calibri"/>
                <w:b w:val="0"/>
                <w:color w:val="35353A"/>
                <w:sz w:val="18"/>
              </w:rPr>
              <w:t>Estándar SAC</w:t>
            </w:r>
          </w:p>
        </w:tc>
        <w:tc>
          <w:tcPr>
            <w:tcW w:type="dxa" w:w="3041"/>
            <w:shd w:val="clear" w:color="auto" w:fill="FFF8E6"/>
          </w:tcPr>
          <w:p>
            <w:r>
              <w:rPr>
                <w:rFonts w:ascii="Calibri" w:hAnsi="Calibri"/>
                <w:b w:val="0"/>
                <w:color w:val="35353A"/>
                <w:sz w:val="18"/>
              </w:rPr>
              <w:t>Dimensión temporal (Año/Mes)</w:t>
            </w:r>
          </w:p>
        </w:tc>
      </w:tr>
      <w:tr>
        <w:tc>
          <w:tcPr>
            <w:tcW w:type="dxa" w:w="3041"/>
            <w:shd w:val="clear" w:color="auto" w:fill="FFF8E6"/>
          </w:tcPr>
          <w:p>
            <w:r>
              <w:rPr>
                <w:rFonts w:ascii="Calibri" w:hAnsi="Calibri"/>
                <w:b/>
                <w:color w:val="107454"/>
                <w:sz w:val="18"/>
              </w:rPr>
              <w:t>AUDITORIA</w:t>
            </w:r>
          </w:p>
        </w:tc>
        <w:tc>
          <w:tcPr>
            <w:tcW w:type="dxa" w:w="3041"/>
            <w:shd w:val="clear" w:color="auto" w:fill="FFF8E6"/>
          </w:tcPr>
          <w:p>
            <w:r>
              <w:rPr>
                <w:rFonts w:ascii="Calibri" w:hAnsi="Calibri"/>
                <w:b w:val="0"/>
                <w:color w:val="35353A"/>
                <w:sz w:val="18"/>
              </w:rPr>
              <w:t>Genérica</w:t>
            </w:r>
          </w:p>
        </w:tc>
        <w:tc>
          <w:tcPr>
            <w:tcW w:type="dxa" w:w="3041"/>
            <w:shd w:val="clear" w:color="auto" w:fill="FFF8E6"/>
          </w:tcPr>
          <w:p>
            <w:r>
              <w:rPr>
                <w:rFonts w:ascii="Calibri" w:hAnsi="Calibri"/>
                <w:b w:val="0"/>
                <w:color w:val="35353A"/>
                <w:sz w:val="18"/>
              </w:rPr>
              <w:t>Control y trazabilidad de carga de datos</w:t>
            </w:r>
          </w:p>
        </w:tc>
      </w:tr>
      <w:tr>
        <w:tc>
          <w:tcPr>
            <w:tcW w:type="dxa" w:w="3041"/>
            <w:shd w:val="clear" w:color="auto" w:fill="FFF8E6"/>
          </w:tcPr>
          <w:p>
            <w:r>
              <w:rPr>
                <w:rFonts w:ascii="Calibri" w:hAnsi="Calibri"/>
                <w:b/>
                <w:color w:val="107454"/>
                <w:sz w:val="18"/>
              </w:rPr>
              <w:t>CEBES</w:t>
            </w:r>
          </w:p>
        </w:tc>
        <w:tc>
          <w:tcPr>
            <w:tcW w:type="dxa" w:w="3041"/>
            <w:shd w:val="clear" w:color="auto" w:fill="FFF8E6"/>
          </w:tcPr>
          <w:p>
            <w:r>
              <w:rPr>
                <w:rFonts w:ascii="Calibri" w:hAnsi="Calibri"/>
                <w:b w:val="0"/>
                <w:color w:val="35353A"/>
                <w:sz w:val="18"/>
              </w:rPr>
              <w:t>Genérica</w:t>
            </w:r>
          </w:p>
        </w:tc>
        <w:tc>
          <w:tcPr>
            <w:tcW w:type="dxa" w:w="3041"/>
            <w:shd w:val="clear" w:color="auto" w:fill="FFF8E6"/>
          </w:tcPr>
          <w:p>
            <w:r>
              <w:rPr>
                <w:rFonts w:ascii="Calibri" w:hAnsi="Calibri"/>
                <w:b w:val="0"/>
                <w:color w:val="35353A"/>
                <w:sz w:val="18"/>
              </w:rPr>
              <w:t>Centro de Beneficio / Profit Center SAP CO</w:t>
            </w:r>
          </w:p>
        </w:tc>
      </w:tr>
      <w:tr>
        <w:tc>
          <w:tcPr>
            <w:tcW w:type="dxa" w:w="3041"/>
            <w:shd w:val="clear" w:color="auto" w:fill="FFF8E6"/>
          </w:tcPr>
          <w:p>
            <w:r>
              <w:rPr>
                <w:rFonts w:ascii="Calibri" w:hAnsi="Calibri"/>
                <w:b/>
                <w:color w:val="107454"/>
                <w:sz w:val="18"/>
              </w:rPr>
              <w:t>MONEDA</w:t>
            </w:r>
          </w:p>
        </w:tc>
        <w:tc>
          <w:tcPr>
            <w:tcW w:type="dxa" w:w="3041"/>
            <w:shd w:val="clear" w:color="auto" w:fill="FFF8E6"/>
          </w:tcPr>
          <w:p>
            <w:r>
              <w:rPr>
                <w:rFonts w:ascii="Calibri" w:hAnsi="Calibri"/>
                <w:b w:val="0"/>
                <w:color w:val="35353A"/>
                <w:sz w:val="18"/>
              </w:rPr>
              <w:t>Genérica</w:t>
            </w:r>
          </w:p>
        </w:tc>
        <w:tc>
          <w:tcPr>
            <w:tcW w:type="dxa" w:w="3041"/>
            <w:shd w:val="clear" w:color="auto" w:fill="FFF8E6"/>
          </w:tcPr>
          <w:p>
            <w:r>
              <w:rPr>
                <w:rFonts w:ascii="Calibri" w:hAnsi="Calibri"/>
                <w:b w:val="0"/>
                <w:color w:val="35353A"/>
                <w:sz w:val="18"/>
              </w:rPr>
              <w:t>Dimensión de moneda (COP/USD/EUR)</w:t>
            </w:r>
          </w:p>
        </w:tc>
      </w:tr>
      <w:tr>
        <w:tc>
          <w:tcPr>
            <w:tcW w:type="dxa" w:w="3041"/>
            <w:shd w:val="clear" w:color="auto" w:fill="FFF8E6"/>
          </w:tcPr>
          <w:p>
            <w:r>
              <w:rPr>
                <w:rFonts w:ascii="Calibri" w:hAnsi="Calibri"/>
                <w:b/>
                <w:color w:val="107454"/>
                <w:sz w:val="18"/>
              </w:rPr>
              <w:t>SOCIEDAD</w:t>
            </w:r>
          </w:p>
        </w:tc>
        <w:tc>
          <w:tcPr>
            <w:tcW w:type="dxa" w:w="3041"/>
            <w:shd w:val="clear" w:color="auto" w:fill="FFF8E6"/>
          </w:tcPr>
          <w:p>
            <w:r>
              <w:rPr>
                <w:rFonts w:ascii="Calibri" w:hAnsi="Calibri"/>
                <w:b w:val="0"/>
                <w:color w:val="35353A"/>
                <w:sz w:val="18"/>
              </w:rPr>
              <w:t>Genérica</w:t>
            </w:r>
          </w:p>
        </w:tc>
        <w:tc>
          <w:tcPr>
            <w:tcW w:type="dxa" w:w="3041"/>
            <w:shd w:val="clear" w:color="auto" w:fill="FFF8E6"/>
          </w:tcPr>
          <w:p>
            <w:r>
              <w:rPr>
                <w:rFonts w:ascii="Calibri" w:hAnsi="Calibri"/>
                <w:b w:val="0"/>
                <w:color w:val="35353A"/>
                <w:sz w:val="18"/>
              </w:rPr>
              <w:t>Sociedad / Company Code SAP FI</w:t>
            </w:r>
          </w:p>
        </w:tc>
      </w:tr>
    </w:tbl>
    <w:p/>
    <w:p>
      <w:pPr>
        <w:spacing w:before="160" w:after="40"/>
        <w:shd w:val="clear" w:color="auto" w:fill="5C3A8C"/>
      </w:pPr>
      <w:r>
        <w:rPr>
          <w:rFonts w:ascii="Calibri" w:hAnsi="Calibri"/>
          <w:b/>
          <w:color w:val="FFFFFF"/>
          <w:sz w:val="22"/>
        </w:rPr>
        <w:t xml:space="preserve">  Modelo Costos y Gastos Fanalca  </w:t>
      </w:r>
    </w:p>
    <w:p>
      <w:pPr>
        <w:spacing w:before="20" w:after="40"/>
        <w:ind w:left="283"/>
      </w:pPr>
      <w:r>
        <w:rPr>
          <w:rFonts w:ascii="Calibri" w:hAnsi="Calibri"/>
          <w:i/>
          <w:color w:val="5C3A8C"/>
          <w:sz w:val="18"/>
        </w:rPr>
        <w:t>Tipo: Planning Model (Read/Write)   |   Medida principal: Importe — Decimal</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5C3A8C"/>
          </w:tcPr>
          <w:p>
            <w:pPr>
              <w:jc w:val="center"/>
            </w:pPr>
            <w:r>
              <w:rPr>
                <w:rFonts w:ascii="Calibri" w:hAnsi="Calibri"/>
                <w:b/>
                <w:color w:val="FFFFFF"/>
                <w:sz w:val="18"/>
              </w:rPr>
              <w:t>Dimensión</w:t>
            </w:r>
          </w:p>
        </w:tc>
        <w:tc>
          <w:tcPr>
            <w:tcW w:type="dxa" w:w="3041"/>
            <w:shd w:val="clear" w:color="auto" w:fill="5C3A8C"/>
          </w:tcPr>
          <w:p>
            <w:pPr>
              <w:jc w:val="center"/>
            </w:pPr>
            <w:r>
              <w:rPr>
                <w:rFonts w:ascii="Calibri" w:hAnsi="Calibri"/>
                <w:b/>
                <w:color w:val="FFFFFF"/>
                <w:sz w:val="18"/>
              </w:rPr>
              <w:t>Tipo</w:t>
            </w:r>
          </w:p>
        </w:tc>
        <w:tc>
          <w:tcPr>
            <w:tcW w:type="dxa" w:w="3041"/>
            <w:shd w:val="clear" w:color="auto" w:fill="5C3A8C"/>
          </w:tcPr>
          <w:p>
            <w:pPr>
              <w:jc w:val="center"/>
            </w:pPr>
            <w:r>
              <w:rPr>
                <w:rFonts w:ascii="Calibri" w:hAnsi="Calibri"/>
                <w:b/>
                <w:color w:val="FFFFFF"/>
                <w:sz w:val="18"/>
              </w:rPr>
              <w:t>Descripción / Equivalente SAP</w:t>
            </w:r>
          </w:p>
        </w:tc>
      </w:tr>
      <w:tr>
        <w:tc>
          <w:tcPr>
            <w:tcW w:type="dxa" w:w="3041"/>
            <w:shd w:val="clear" w:color="auto" w:fill="FFF8E6"/>
          </w:tcPr>
          <w:p>
            <w:r>
              <w:rPr>
                <w:rFonts w:ascii="Calibri" w:hAnsi="Calibri"/>
                <w:b/>
                <w:color w:val="5C3A8C"/>
                <w:sz w:val="18"/>
              </w:rPr>
              <w:t>Version</w:t>
            </w:r>
          </w:p>
        </w:tc>
        <w:tc>
          <w:tcPr>
            <w:tcW w:type="dxa" w:w="3041"/>
            <w:shd w:val="clear" w:color="auto" w:fill="FFF8E6"/>
          </w:tcPr>
          <w:p>
            <w:r>
              <w:rPr>
                <w:rFonts w:ascii="Calibri" w:hAnsi="Calibri"/>
                <w:b w:val="0"/>
                <w:color w:val="35353A"/>
                <w:sz w:val="18"/>
              </w:rPr>
              <w:t>Estándar SAC</w:t>
            </w:r>
          </w:p>
        </w:tc>
        <w:tc>
          <w:tcPr>
            <w:tcW w:type="dxa" w:w="3041"/>
            <w:shd w:val="clear" w:color="auto" w:fill="FFF8E6"/>
          </w:tcPr>
          <w:p>
            <w:r>
              <w:rPr>
                <w:rFonts w:ascii="Calibri" w:hAnsi="Calibri"/>
                <w:b w:val="0"/>
                <w:color w:val="35353A"/>
                <w:sz w:val="18"/>
              </w:rPr>
              <w:t>Versión de datos (Real/Plan/Forecast)</w:t>
            </w:r>
          </w:p>
        </w:tc>
      </w:tr>
      <w:tr>
        <w:tc>
          <w:tcPr>
            <w:tcW w:type="dxa" w:w="3041"/>
            <w:shd w:val="clear" w:color="auto" w:fill="FFFFFF"/>
          </w:tcPr>
          <w:p>
            <w:r>
              <w:rPr>
                <w:rFonts w:ascii="Calibri" w:hAnsi="Calibri"/>
                <w:b/>
                <w:color w:val="5C3A8C"/>
                <w:sz w:val="18"/>
              </w:rPr>
              <w:t>CUENTAS</w:t>
            </w:r>
          </w:p>
        </w:tc>
        <w:tc>
          <w:tcPr>
            <w:tcW w:type="dxa" w:w="3041"/>
            <w:shd w:val="clear" w:color="auto" w:fill="FFFFFF"/>
          </w:tcPr>
          <w:p>
            <w:r>
              <w:rPr>
                <w:rFonts w:ascii="Calibri" w:hAnsi="Calibri"/>
                <w:b w:val="0"/>
                <w:color w:val="35353A"/>
                <w:sz w:val="18"/>
              </w:rPr>
              <w:t>Genérica</w:t>
            </w:r>
          </w:p>
        </w:tc>
        <w:tc>
          <w:tcPr>
            <w:tcW w:type="dxa" w:w="3041"/>
            <w:shd w:val="clear" w:color="auto" w:fill="FFFFFF"/>
          </w:tcPr>
          <w:p>
            <w:r>
              <w:rPr>
                <w:rFonts w:ascii="Calibri" w:hAnsi="Calibri"/>
                <w:b w:val="0"/>
                <w:color w:val="35353A"/>
                <w:sz w:val="18"/>
              </w:rPr>
              <w:t>Cuenta contable de costos/gastos SAP FI/CO</w:t>
            </w:r>
          </w:p>
        </w:tc>
      </w:tr>
      <w:tr>
        <w:tc>
          <w:tcPr>
            <w:tcW w:type="dxa" w:w="3041"/>
            <w:shd w:val="clear" w:color="auto" w:fill="FFF8E6"/>
          </w:tcPr>
          <w:p>
            <w:r>
              <w:rPr>
                <w:rFonts w:ascii="Calibri" w:hAnsi="Calibri"/>
                <w:b/>
                <w:color w:val="5C3A8C"/>
                <w:sz w:val="18"/>
              </w:rPr>
              <w:t>Date</w:t>
            </w:r>
          </w:p>
        </w:tc>
        <w:tc>
          <w:tcPr>
            <w:tcW w:type="dxa" w:w="3041"/>
            <w:shd w:val="clear" w:color="auto" w:fill="FFF8E6"/>
          </w:tcPr>
          <w:p>
            <w:r>
              <w:rPr>
                <w:rFonts w:ascii="Calibri" w:hAnsi="Calibri"/>
                <w:b w:val="0"/>
                <w:color w:val="35353A"/>
                <w:sz w:val="18"/>
              </w:rPr>
              <w:t>Estándar SAC</w:t>
            </w:r>
          </w:p>
        </w:tc>
        <w:tc>
          <w:tcPr>
            <w:tcW w:type="dxa" w:w="3041"/>
            <w:shd w:val="clear" w:color="auto" w:fill="FFF8E6"/>
          </w:tcPr>
          <w:p>
            <w:r>
              <w:rPr>
                <w:rFonts w:ascii="Calibri" w:hAnsi="Calibri"/>
                <w:b w:val="0"/>
                <w:color w:val="35353A"/>
                <w:sz w:val="18"/>
              </w:rPr>
              <w:t>Dimensión temporal (Año/Mes)</w:t>
            </w:r>
          </w:p>
        </w:tc>
      </w:tr>
      <w:tr>
        <w:tc>
          <w:tcPr>
            <w:tcW w:type="dxa" w:w="3041"/>
            <w:shd w:val="clear" w:color="auto" w:fill="FFF8E6"/>
          </w:tcPr>
          <w:p>
            <w:r>
              <w:rPr>
                <w:rFonts w:ascii="Calibri" w:hAnsi="Calibri"/>
                <w:b/>
                <w:color w:val="5C3A8C"/>
                <w:sz w:val="18"/>
              </w:rPr>
              <w:t>AUDITORIA</w:t>
            </w:r>
          </w:p>
        </w:tc>
        <w:tc>
          <w:tcPr>
            <w:tcW w:type="dxa" w:w="3041"/>
            <w:shd w:val="clear" w:color="auto" w:fill="FFF8E6"/>
          </w:tcPr>
          <w:p>
            <w:r>
              <w:rPr>
                <w:rFonts w:ascii="Calibri" w:hAnsi="Calibri"/>
                <w:b w:val="0"/>
                <w:color w:val="35353A"/>
                <w:sz w:val="18"/>
              </w:rPr>
              <w:t>Genérica</w:t>
            </w:r>
          </w:p>
        </w:tc>
        <w:tc>
          <w:tcPr>
            <w:tcW w:type="dxa" w:w="3041"/>
            <w:shd w:val="clear" w:color="auto" w:fill="FFF8E6"/>
          </w:tcPr>
          <w:p>
            <w:r>
              <w:rPr>
                <w:rFonts w:ascii="Calibri" w:hAnsi="Calibri"/>
                <w:b w:val="0"/>
                <w:color w:val="35353A"/>
                <w:sz w:val="18"/>
              </w:rPr>
              <w:t>Control y trazabilidad de carga de datos</w:t>
            </w:r>
          </w:p>
        </w:tc>
      </w:tr>
      <w:tr>
        <w:tc>
          <w:tcPr>
            <w:tcW w:type="dxa" w:w="3041"/>
            <w:shd w:val="clear" w:color="auto" w:fill="FFF8E6"/>
          </w:tcPr>
          <w:p>
            <w:r>
              <w:rPr>
                <w:rFonts w:ascii="Calibri" w:hAnsi="Calibri"/>
                <w:b/>
                <w:color w:val="5C3A8C"/>
                <w:sz w:val="18"/>
              </w:rPr>
              <w:t>CEBES</w:t>
            </w:r>
          </w:p>
        </w:tc>
        <w:tc>
          <w:tcPr>
            <w:tcW w:type="dxa" w:w="3041"/>
            <w:shd w:val="clear" w:color="auto" w:fill="FFF8E6"/>
          </w:tcPr>
          <w:p>
            <w:r>
              <w:rPr>
                <w:rFonts w:ascii="Calibri" w:hAnsi="Calibri"/>
                <w:b w:val="0"/>
                <w:color w:val="35353A"/>
                <w:sz w:val="18"/>
              </w:rPr>
              <w:t>Genérica</w:t>
            </w:r>
          </w:p>
        </w:tc>
        <w:tc>
          <w:tcPr>
            <w:tcW w:type="dxa" w:w="3041"/>
            <w:shd w:val="clear" w:color="auto" w:fill="FFF8E6"/>
          </w:tcPr>
          <w:p>
            <w:r>
              <w:rPr>
                <w:rFonts w:ascii="Calibri" w:hAnsi="Calibri"/>
                <w:b w:val="0"/>
                <w:color w:val="35353A"/>
                <w:sz w:val="18"/>
              </w:rPr>
              <w:t>Centro de Beneficio / Profit Center SAP CO</w:t>
            </w:r>
          </w:p>
        </w:tc>
      </w:tr>
      <w:tr>
        <w:tc>
          <w:tcPr>
            <w:tcW w:type="dxa" w:w="3041"/>
            <w:shd w:val="clear" w:color="auto" w:fill="FFFFFF"/>
          </w:tcPr>
          <w:p>
            <w:r>
              <w:rPr>
                <w:rFonts w:ascii="Calibri" w:hAnsi="Calibri"/>
                <w:b/>
                <w:color w:val="5C3A8C"/>
                <w:sz w:val="18"/>
              </w:rPr>
              <w:t>CECOS</w:t>
            </w:r>
          </w:p>
        </w:tc>
        <w:tc>
          <w:tcPr>
            <w:tcW w:type="dxa" w:w="3041"/>
            <w:shd w:val="clear" w:color="auto" w:fill="FFFFFF"/>
          </w:tcPr>
          <w:p>
            <w:r>
              <w:rPr>
                <w:rFonts w:ascii="Calibri" w:hAnsi="Calibri"/>
                <w:b w:val="0"/>
                <w:color w:val="35353A"/>
                <w:sz w:val="18"/>
              </w:rPr>
              <w:t>Genérica</w:t>
            </w:r>
          </w:p>
        </w:tc>
        <w:tc>
          <w:tcPr>
            <w:tcW w:type="dxa" w:w="3041"/>
            <w:shd w:val="clear" w:color="auto" w:fill="FFFFFF"/>
          </w:tcPr>
          <w:p>
            <w:r>
              <w:rPr>
                <w:rFonts w:ascii="Calibri" w:hAnsi="Calibri"/>
                <w:b w:val="0"/>
                <w:color w:val="35353A"/>
                <w:sz w:val="18"/>
              </w:rPr>
              <w:t>Centro de Costo / Cost Center SAP CO</w:t>
            </w:r>
          </w:p>
        </w:tc>
      </w:tr>
      <w:tr>
        <w:tc>
          <w:tcPr>
            <w:tcW w:type="dxa" w:w="3041"/>
            <w:shd w:val="clear" w:color="auto" w:fill="FFF8E6"/>
          </w:tcPr>
          <w:p>
            <w:r>
              <w:rPr>
                <w:rFonts w:ascii="Calibri" w:hAnsi="Calibri"/>
                <w:b/>
                <w:color w:val="5C3A8C"/>
                <w:sz w:val="18"/>
              </w:rPr>
              <w:t>MONEDA</w:t>
            </w:r>
          </w:p>
        </w:tc>
        <w:tc>
          <w:tcPr>
            <w:tcW w:type="dxa" w:w="3041"/>
            <w:shd w:val="clear" w:color="auto" w:fill="FFF8E6"/>
          </w:tcPr>
          <w:p>
            <w:r>
              <w:rPr>
                <w:rFonts w:ascii="Calibri" w:hAnsi="Calibri"/>
                <w:b w:val="0"/>
                <w:color w:val="35353A"/>
                <w:sz w:val="18"/>
              </w:rPr>
              <w:t>Genérica</w:t>
            </w:r>
          </w:p>
        </w:tc>
        <w:tc>
          <w:tcPr>
            <w:tcW w:type="dxa" w:w="3041"/>
            <w:shd w:val="clear" w:color="auto" w:fill="FFF8E6"/>
          </w:tcPr>
          <w:p>
            <w:r>
              <w:rPr>
                <w:rFonts w:ascii="Calibri" w:hAnsi="Calibri"/>
                <w:b w:val="0"/>
                <w:color w:val="35353A"/>
                <w:sz w:val="18"/>
              </w:rPr>
              <w:t>Dimensión de moneda (COP/USD/EUR)</w:t>
            </w:r>
          </w:p>
        </w:tc>
      </w:tr>
      <w:tr>
        <w:tc>
          <w:tcPr>
            <w:tcW w:type="dxa" w:w="3041"/>
            <w:shd w:val="clear" w:color="auto" w:fill="FFF8E6"/>
          </w:tcPr>
          <w:p>
            <w:r>
              <w:rPr>
                <w:rFonts w:ascii="Calibri" w:hAnsi="Calibri"/>
                <w:b/>
                <w:color w:val="5C3A8C"/>
                <w:sz w:val="18"/>
              </w:rPr>
              <w:t>SOCIEDAD</w:t>
            </w:r>
          </w:p>
        </w:tc>
        <w:tc>
          <w:tcPr>
            <w:tcW w:type="dxa" w:w="3041"/>
            <w:shd w:val="clear" w:color="auto" w:fill="FFF8E6"/>
          </w:tcPr>
          <w:p>
            <w:r>
              <w:rPr>
                <w:rFonts w:ascii="Calibri" w:hAnsi="Calibri"/>
                <w:b w:val="0"/>
                <w:color w:val="35353A"/>
                <w:sz w:val="18"/>
              </w:rPr>
              <w:t>Genérica</w:t>
            </w:r>
          </w:p>
        </w:tc>
        <w:tc>
          <w:tcPr>
            <w:tcW w:type="dxa" w:w="3041"/>
            <w:shd w:val="clear" w:color="auto" w:fill="FFF8E6"/>
          </w:tcPr>
          <w:p>
            <w:r>
              <w:rPr>
                <w:rFonts w:ascii="Calibri" w:hAnsi="Calibri"/>
                <w:b w:val="0"/>
                <w:color w:val="35353A"/>
                <w:sz w:val="18"/>
              </w:rPr>
              <w:t>Sociedad / Company Code SAP FI</w:t>
            </w:r>
          </w:p>
        </w:tc>
      </w:tr>
    </w:tbl>
    <w:p/>
    <w:p>
      <w:r>
        <w:br w:type="page"/>
      </w:r>
    </w:p>
    <w:p>
      <w:pPr>
        <w:spacing w:before="160" w:after="60"/>
        <w:ind w:left="283"/>
      </w:pPr>
      <w:r>
        <w:rPr>
          <w:rFonts w:ascii="Calibri" w:hAnsi="Calibri"/>
          <w:b/>
          <w:color w:val="0070BF"/>
          <w:sz w:val="22"/>
        </w:rPr>
        <w:t xml:space="preserve">5.2.  </w:t>
      </w:r>
      <w:r>
        <w:rPr>
          <w:rFonts w:ascii="Calibri" w:hAnsi="Calibri"/>
          <w:b/>
          <w:color w:val="35353A"/>
          <w:sz w:val="22"/>
        </w:rPr>
        <w:t>Valor de Actividad de Configuración</w:t>
      </w:r>
    </w:p>
    <w:p>
      <w:pPr>
        <w:spacing w:before="60" w:after="60"/>
      </w:pPr>
      <w:r>
        <w:rPr>
          <w:rFonts w:ascii="Calibri" w:hAnsi="Calibri"/>
          <w:color w:val="35353A"/>
          <w:sz w:val="20"/>
        </w:rPr>
        <w:t>La siguiente tabla resume las actividades de configuración en SAP Analytics Cloud, su estado y la estimación de esfuerzo para cada componente: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00417A"/>
          </w:tcPr>
          <w:p>
            <w:pPr>
              <w:jc w:val="center"/>
            </w:pPr>
            <w:r>
              <w:rPr>
                <w:rFonts w:ascii="Calibri" w:hAnsi="Calibri"/>
                <w:b/>
                <w:color w:val="FFFFFF"/>
                <w:sz w:val="18"/>
              </w:rPr>
              <w:t>Actividad</w:t>
            </w:r>
          </w:p>
        </w:tc>
        <w:tc>
          <w:tcPr>
            <w:tcW w:type="dxa" w:w="1824"/>
            <w:shd w:val="clear" w:color="auto" w:fill="00417A"/>
          </w:tcPr>
          <w:p>
            <w:pPr>
              <w:jc w:val="center"/>
            </w:pPr>
            <w:r>
              <w:rPr>
                <w:rFonts w:ascii="Calibri" w:hAnsi="Calibri"/>
                <w:b/>
                <w:color w:val="FFFFFF"/>
                <w:sz w:val="18"/>
              </w:rPr>
              <w:t>Área</w:t>
            </w:r>
          </w:p>
        </w:tc>
        <w:tc>
          <w:tcPr>
            <w:tcW w:type="dxa" w:w="1824"/>
            <w:shd w:val="clear" w:color="auto" w:fill="00417A"/>
          </w:tcPr>
          <w:p>
            <w:pPr>
              <w:jc w:val="center"/>
            </w:pPr>
            <w:r>
              <w:rPr>
                <w:rFonts w:ascii="Calibri" w:hAnsi="Calibri"/>
                <w:b/>
                <w:color w:val="FFFFFF"/>
                <w:sz w:val="18"/>
              </w:rPr>
              <w:t>Estado</w:t>
            </w:r>
          </w:p>
        </w:tc>
        <w:tc>
          <w:tcPr>
            <w:tcW w:type="dxa" w:w="1824"/>
            <w:shd w:val="clear" w:color="auto" w:fill="00417A"/>
          </w:tcPr>
          <w:p>
            <w:pPr>
              <w:jc w:val="center"/>
            </w:pPr>
            <w:r>
              <w:rPr>
                <w:rFonts w:ascii="Calibri" w:hAnsi="Calibri"/>
                <w:b/>
                <w:color w:val="FFFFFF"/>
                <w:sz w:val="18"/>
              </w:rPr>
              <w:t>Prioridad</w:t>
            </w:r>
          </w:p>
        </w:tc>
        <w:tc>
          <w:tcPr>
            <w:tcW w:type="dxa" w:w="1824"/>
            <w:shd w:val="clear" w:color="auto" w:fill="00417A"/>
          </w:tcPr>
          <w:p>
            <w:pPr>
              <w:jc w:val="center"/>
            </w:pPr>
            <w:r>
              <w:rPr>
                <w:rFonts w:ascii="Calibri" w:hAnsi="Calibri"/>
                <w:b/>
                <w:color w:val="FFFFFF"/>
                <w:sz w:val="18"/>
              </w:rPr>
              <w:t>Notas</w:t>
            </w:r>
          </w:p>
        </w:tc>
      </w:tr>
      <w:tr>
        <w:tc>
          <w:tcPr>
            <w:tcW w:type="dxa" w:w="1824"/>
            <w:shd w:val="clear" w:color="auto" w:fill="F5F5F5"/>
          </w:tcPr>
          <w:p>
            <w:r>
              <w:rPr>
                <w:rFonts w:ascii="Calibri" w:hAnsi="Calibri"/>
                <w:color w:val="35353A"/>
                <w:sz w:val="18"/>
              </w:rPr>
              <w:t>Creación de Modelos (3)</w:t>
            </w:r>
          </w:p>
        </w:tc>
        <w:tc>
          <w:tcPr>
            <w:tcW w:type="dxa" w:w="1824"/>
            <w:shd w:val="clear" w:color="auto" w:fill="F5F5F5"/>
          </w:tcPr>
          <w:p>
            <w:r>
              <w:rPr>
                <w:rFonts w:ascii="Calibri" w:hAnsi="Calibri"/>
                <w:color w:val="35353A"/>
                <w:sz w:val="18"/>
              </w:rPr>
              <w:t>Modelado SAC</w:t>
            </w:r>
          </w:p>
        </w:tc>
        <w:tc>
          <w:tcPr>
            <w:tcW w:type="dxa" w:w="1824"/>
            <w:shd w:val="clear" w:color="auto" w:fill="F5F5F5"/>
          </w:tcPr>
          <w:p>
            <w:r>
              <w:rPr>
                <w:rFonts w:ascii="Calibri" w:hAnsi="Calibri"/>
                <w:b/>
                <w:color w:val="107454"/>
                <w:sz w:val="18"/>
              </w:rPr>
              <w:t>Completo</w:t>
            </w:r>
          </w:p>
        </w:tc>
        <w:tc>
          <w:tcPr>
            <w:tcW w:type="dxa" w:w="1824"/>
            <w:shd w:val="clear" w:color="auto" w:fill="F5F5F5"/>
          </w:tcPr>
          <w:p>
            <w:r>
              <w:rPr>
                <w:rFonts w:ascii="Calibri" w:hAnsi="Calibri"/>
                <w:b/>
                <w:color w:val="CC3300"/>
                <w:sz w:val="18"/>
              </w:rPr>
              <w:t>Alta</w:t>
            </w:r>
          </w:p>
        </w:tc>
        <w:tc>
          <w:tcPr>
            <w:tcW w:type="dxa" w:w="1824"/>
            <w:shd w:val="clear" w:color="auto" w:fill="F5F5F5"/>
          </w:tcPr>
          <w:p>
            <w:r>
              <w:rPr>
                <w:rFonts w:ascii="Calibri" w:hAnsi="Calibri"/>
                <w:color w:val="35353A"/>
                <w:sz w:val="18"/>
              </w:rPr>
              <w:t>3 Modelos Planning creados en ambiente de Desarrollo</w:t>
            </w:r>
          </w:p>
        </w:tc>
      </w:tr>
      <w:tr>
        <w:tc>
          <w:tcPr>
            <w:tcW w:type="dxa" w:w="1824"/>
            <w:shd w:val="clear" w:color="auto" w:fill="FFFFFF"/>
          </w:tcPr>
          <w:p>
            <w:r>
              <w:rPr>
                <w:rFonts w:ascii="Calibri" w:hAnsi="Calibri"/>
                <w:color w:val="35353A"/>
                <w:sz w:val="18"/>
              </w:rPr>
              <w:t>Configuración de Dimensiones</w:t>
            </w:r>
          </w:p>
        </w:tc>
        <w:tc>
          <w:tcPr>
            <w:tcW w:type="dxa" w:w="1824"/>
            <w:shd w:val="clear" w:color="auto" w:fill="FFFFFF"/>
          </w:tcPr>
          <w:p>
            <w:r>
              <w:rPr>
                <w:rFonts w:ascii="Calibri" w:hAnsi="Calibri"/>
                <w:color w:val="35353A"/>
                <w:sz w:val="18"/>
              </w:rPr>
              <w:t>Modelado SAC</w:t>
            </w:r>
          </w:p>
        </w:tc>
        <w:tc>
          <w:tcPr>
            <w:tcW w:type="dxa" w:w="1824"/>
            <w:shd w:val="clear" w:color="auto" w:fill="FFFFFF"/>
          </w:tcPr>
          <w:p>
            <w:r>
              <w:rPr>
                <w:rFonts w:ascii="Calibri" w:hAnsi="Calibri"/>
                <w:b/>
                <w:color w:val="107454"/>
                <w:sz w:val="18"/>
              </w:rPr>
              <w:t>Completo</w:t>
            </w:r>
          </w:p>
        </w:tc>
        <w:tc>
          <w:tcPr>
            <w:tcW w:type="dxa" w:w="1824"/>
            <w:shd w:val="clear" w:color="auto" w:fill="FFFFFF"/>
          </w:tcPr>
          <w:p>
            <w:r>
              <w:rPr>
                <w:rFonts w:ascii="Calibri" w:hAnsi="Calibri"/>
                <w:b/>
                <w:color w:val="CC3300"/>
                <w:sz w:val="18"/>
              </w:rPr>
              <w:t>Alta</w:t>
            </w:r>
          </w:p>
        </w:tc>
        <w:tc>
          <w:tcPr>
            <w:tcW w:type="dxa" w:w="1824"/>
            <w:shd w:val="clear" w:color="auto" w:fill="FFFFFF"/>
          </w:tcPr>
          <w:p>
            <w:r>
              <w:rPr>
                <w:rFonts w:ascii="Calibri" w:hAnsi="Calibri"/>
                <w:color w:val="35353A"/>
                <w:sz w:val="18"/>
              </w:rPr>
              <w:t>Version, Date (std) + 9 dims genéricas configuradas</w:t>
            </w:r>
          </w:p>
        </w:tc>
      </w:tr>
      <w:tr>
        <w:tc>
          <w:tcPr>
            <w:tcW w:type="dxa" w:w="1824"/>
            <w:shd w:val="clear" w:color="auto" w:fill="F5F5F5"/>
          </w:tcPr>
          <w:p>
            <w:r>
              <w:rPr>
                <w:rFonts w:ascii="Calibri" w:hAnsi="Calibri"/>
                <w:color w:val="35353A"/>
                <w:sz w:val="18"/>
              </w:rPr>
              <w:t>Carga de Datos Maestros</w:t>
            </w:r>
          </w:p>
        </w:tc>
        <w:tc>
          <w:tcPr>
            <w:tcW w:type="dxa" w:w="1824"/>
            <w:shd w:val="clear" w:color="auto" w:fill="F5F5F5"/>
          </w:tcPr>
          <w:p>
            <w:r>
              <w:rPr>
                <w:rFonts w:ascii="Calibri" w:hAnsi="Calibri"/>
                <w:color w:val="35353A"/>
                <w:sz w:val="18"/>
              </w:rPr>
              <w:t>Datos Maestros</w:t>
            </w:r>
          </w:p>
        </w:tc>
        <w:tc>
          <w:tcPr>
            <w:tcW w:type="dxa" w:w="1824"/>
            <w:shd w:val="clear" w:color="auto" w:fill="F5F5F5"/>
          </w:tcPr>
          <w:p>
            <w:r>
              <w:rPr>
                <w:rFonts w:ascii="Calibri" w:hAnsi="Calibri"/>
                <w:b/>
                <w:color w:val="0070BF"/>
                <w:sz w:val="18"/>
              </w:rPr>
              <w:t>En Progreso</w:t>
            </w:r>
          </w:p>
        </w:tc>
        <w:tc>
          <w:tcPr>
            <w:tcW w:type="dxa" w:w="1824"/>
            <w:shd w:val="clear" w:color="auto" w:fill="F5F5F5"/>
          </w:tcPr>
          <w:p>
            <w:r>
              <w:rPr>
                <w:rFonts w:ascii="Calibri" w:hAnsi="Calibri"/>
                <w:b/>
                <w:color w:val="CC3300"/>
                <w:sz w:val="18"/>
              </w:rPr>
              <w:t>Alta</w:t>
            </w:r>
          </w:p>
        </w:tc>
        <w:tc>
          <w:tcPr>
            <w:tcW w:type="dxa" w:w="1824"/>
            <w:shd w:val="clear" w:color="auto" w:fill="F5F5F5"/>
          </w:tcPr>
          <w:p>
            <w:r>
              <w:rPr>
                <w:rFonts w:ascii="Calibri" w:hAnsi="Calibri"/>
                <w:color w:val="35353A"/>
                <w:sz w:val="18"/>
              </w:rPr>
              <w:t>Archivos CSV/OData desde SAP ERP para cada dimensión</w:t>
            </w:r>
          </w:p>
        </w:tc>
      </w:tr>
      <w:tr>
        <w:tc>
          <w:tcPr>
            <w:tcW w:type="dxa" w:w="1824"/>
            <w:shd w:val="clear" w:color="auto" w:fill="FFFFFF"/>
          </w:tcPr>
          <w:p>
            <w:r>
              <w:rPr>
                <w:rFonts w:ascii="Calibri" w:hAnsi="Calibri"/>
                <w:color w:val="35353A"/>
                <w:sz w:val="18"/>
              </w:rPr>
              <w:t>Integración SAP ERP → SAC</w:t>
            </w:r>
          </w:p>
        </w:tc>
        <w:tc>
          <w:tcPr>
            <w:tcW w:type="dxa" w:w="1824"/>
            <w:shd w:val="clear" w:color="auto" w:fill="FFFFFF"/>
          </w:tcPr>
          <w:p>
            <w:r>
              <w:rPr>
                <w:rFonts w:ascii="Calibri" w:hAnsi="Calibri"/>
                <w:color w:val="35353A"/>
                <w:sz w:val="18"/>
              </w:rPr>
              <w:t>Integración</w:t>
            </w:r>
          </w:p>
        </w:tc>
        <w:tc>
          <w:tcPr>
            <w:tcW w:type="dxa" w:w="1824"/>
            <w:shd w:val="clear" w:color="auto" w:fill="FFFFFF"/>
          </w:tcPr>
          <w:p>
            <w:r>
              <w:rPr>
                <w:rFonts w:ascii="Calibri" w:hAnsi="Calibri"/>
                <w:b/>
                <w:color w:val="0070BF"/>
                <w:sz w:val="18"/>
              </w:rPr>
              <w:t>En Progreso</w:t>
            </w:r>
          </w:p>
        </w:tc>
        <w:tc>
          <w:tcPr>
            <w:tcW w:type="dxa" w:w="1824"/>
            <w:shd w:val="clear" w:color="auto" w:fill="FFFFFF"/>
          </w:tcPr>
          <w:p>
            <w:r>
              <w:rPr>
                <w:rFonts w:ascii="Calibri" w:hAnsi="Calibri"/>
                <w:b/>
                <w:color w:val="CC3300"/>
                <w:sz w:val="18"/>
              </w:rPr>
              <w:t>Alta</w:t>
            </w:r>
          </w:p>
        </w:tc>
        <w:tc>
          <w:tcPr>
            <w:tcW w:type="dxa" w:w="1824"/>
            <w:shd w:val="clear" w:color="auto" w:fill="FFFFFF"/>
          </w:tcPr>
          <w:p>
            <w:r>
              <w:rPr>
                <w:rFonts w:ascii="Calibri" w:hAnsi="Calibri"/>
                <w:color w:val="35353A"/>
                <w:sz w:val="18"/>
              </w:rPr>
              <w:t>Conexión Live Data / Import Data desde SAP BW o HANA</w:t>
            </w:r>
          </w:p>
        </w:tc>
      </w:tr>
      <w:tr>
        <w:tc>
          <w:tcPr>
            <w:tcW w:type="dxa" w:w="1824"/>
            <w:shd w:val="clear" w:color="auto" w:fill="F5F5F5"/>
          </w:tcPr>
          <w:p>
            <w:r>
              <w:rPr>
                <w:rFonts w:ascii="Calibri" w:hAnsi="Calibri"/>
                <w:color w:val="35353A"/>
                <w:sz w:val="18"/>
              </w:rPr>
              <w:t>Archivos de Validación</w:t>
            </w:r>
          </w:p>
        </w:tc>
        <w:tc>
          <w:tcPr>
            <w:tcW w:type="dxa" w:w="1824"/>
            <w:shd w:val="clear" w:color="auto" w:fill="F5F5F5"/>
          </w:tcPr>
          <w:p>
            <w:r>
              <w:rPr>
                <w:rFonts w:ascii="Calibri" w:hAnsi="Calibri"/>
                <w:color w:val="35353A"/>
                <w:sz w:val="18"/>
              </w:rPr>
              <w:t>Calidad de Datos</w:t>
            </w:r>
          </w:p>
        </w:tc>
        <w:tc>
          <w:tcPr>
            <w:tcW w:type="dxa" w:w="1824"/>
            <w:shd w:val="clear" w:color="auto" w:fill="F5F5F5"/>
          </w:tcPr>
          <w:p>
            <w:r>
              <w:rPr>
                <w:rFonts w:ascii="Calibri" w:hAnsi="Calibri"/>
                <w:b/>
                <w:color w:val="0070BF"/>
                <w:sz w:val="18"/>
              </w:rPr>
              <w:t>En Progreso</w:t>
            </w:r>
          </w:p>
        </w:tc>
        <w:tc>
          <w:tcPr>
            <w:tcW w:type="dxa" w:w="1824"/>
            <w:shd w:val="clear" w:color="auto" w:fill="F5F5F5"/>
          </w:tcPr>
          <w:p>
            <w:r>
              <w:rPr>
                <w:rFonts w:ascii="Calibri" w:hAnsi="Calibri"/>
                <w:color w:val="35353A"/>
                <w:sz w:val="18"/>
              </w:rPr>
              <w:t>Media</w:t>
            </w:r>
          </w:p>
        </w:tc>
        <w:tc>
          <w:tcPr>
            <w:tcW w:type="dxa" w:w="1824"/>
            <w:shd w:val="clear" w:color="auto" w:fill="F5F5F5"/>
          </w:tcPr>
          <w:p>
            <w:r>
              <w:rPr>
                <w:rFonts w:ascii="Calibri" w:hAnsi="Calibri"/>
                <w:color w:val="35353A"/>
                <w:sz w:val="18"/>
              </w:rPr>
              <w:t>Reconciliación SAC vs. SAP FI por período y sociedad</w:t>
            </w:r>
          </w:p>
        </w:tc>
      </w:tr>
      <w:tr>
        <w:tc>
          <w:tcPr>
            <w:tcW w:type="dxa" w:w="1824"/>
            <w:shd w:val="clear" w:color="auto" w:fill="FFFFFF"/>
          </w:tcPr>
          <w:p>
            <w:r>
              <w:rPr>
                <w:rFonts w:ascii="Calibri" w:hAnsi="Calibri"/>
                <w:color w:val="35353A"/>
                <w:sz w:val="18"/>
              </w:rPr>
              <w:t>Creación de Stories/Dashboards</w:t>
            </w:r>
          </w:p>
        </w:tc>
        <w:tc>
          <w:tcPr>
            <w:tcW w:type="dxa" w:w="1824"/>
            <w:shd w:val="clear" w:color="auto" w:fill="FFFFFF"/>
          </w:tcPr>
          <w:p>
            <w:r>
              <w:rPr>
                <w:rFonts w:ascii="Calibri" w:hAnsi="Calibri"/>
                <w:color w:val="35353A"/>
                <w:sz w:val="18"/>
              </w:rPr>
              <w:t>Reporting</w:t>
            </w:r>
          </w:p>
        </w:tc>
        <w:tc>
          <w:tcPr>
            <w:tcW w:type="dxa" w:w="1824"/>
            <w:shd w:val="clear" w:color="auto" w:fill="FFFFFF"/>
          </w:tcPr>
          <w:p>
            <w:r>
              <w:rPr>
                <w:rFonts w:ascii="Calibri" w:hAnsi="Calibri"/>
                <w:b/>
                <w:color w:val="888888"/>
                <w:sz w:val="18"/>
              </w:rPr>
              <w:t>Pendiente</w:t>
            </w:r>
          </w:p>
        </w:tc>
        <w:tc>
          <w:tcPr>
            <w:tcW w:type="dxa" w:w="1824"/>
            <w:shd w:val="clear" w:color="auto" w:fill="FFFFFF"/>
          </w:tcPr>
          <w:p>
            <w:r>
              <w:rPr>
                <w:rFonts w:ascii="Calibri" w:hAnsi="Calibri"/>
                <w:color w:val="35353A"/>
                <w:sz w:val="18"/>
              </w:rPr>
              <w:t>Media</w:t>
            </w:r>
          </w:p>
        </w:tc>
        <w:tc>
          <w:tcPr>
            <w:tcW w:type="dxa" w:w="1824"/>
            <w:shd w:val="clear" w:color="auto" w:fill="FFFFFF"/>
          </w:tcPr>
          <w:p>
            <w:r>
              <w:rPr>
                <w:rFonts w:ascii="Calibri" w:hAnsi="Calibri"/>
                <w:color w:val="35353A"/>
                <w:sz w:val="18"/>
              </w:rPr>
              <w:t>Visualizaciones financieras y comerciales por unidad</w:t>
            </w:r>
          </w:p>
        </w:tc>
      </w:tr>
      <w:tr>
        <w:tc>
          <w:tcPr>
            <w:tcW w:type="dxa" w:w="1824"/>
            <w:shd w:val="clear" w:color="auto" w:fill="F5F5F5"/>
          </w:tcPr>
          <w:p>
            <w:r>
              <w:rPr>
                <w:rFonts w:ascii="Calibri" w:hAnsi="Calibri"/>
                <w:color w:val="35353A"/>
                <w:sz w:val="18"/>
              </w:rPr>
              <w:t>Perfilamiento de Acceso</w:t>
            </w:r>
          </w:p>
        </w:tc>
        <w:tc>
          <w:tcPr>
            <w:tcW w:type="dxa" w:w="1824"/>
            <w:shd w:val="clear" w:color="auto" w:fill="F5F5F5"/>
          </w:tcPr>
          <w:p>
            <w:r>
              <w:rPr>
                <w:rFonts w:ascii="Calibri" w:hAnsi="Calibri"/>
                <w:color w:val="35353A"/>
                <w:sz w:val="18"/>
              </w:rPr>
              <w:t>Seguridad</w:t>
            </w:r>
          </w:p>
        </w:tc>
        <w:tc>
          <w:tcPr>
            <w:tcW w:type="dxa" w:w="1824"/>
            <w:shd w:val="clear" w:color="auto" w:fill="F5F5F5"/>
          </w:tcPr>
          <w:p>
            <w:r>
              <w:rPr>
                <w:rFonts w:ascii="Calibri" w:hAnsi="Calibri"/>
                <w:b/>
                <w:color w:val="888888"/>
                <w:sz w:val="18"/>
              </w:rPr>
              <w:t>Pendiente</w:t>
            </w:r>
          </w:p>
        </w:tc>
        <w:tc>
          <w:tcPr>
            <w:tcW w:type="dxa" w:w="1824"/>
            <w:shd w:val="clear" w:color="auto" w:fill="F5F5F5"/>
          </w:tcPr>
          <w:p>
            <w:r>
              <w:rPr>
                <w:rFonts w:ascii="Calibri" w:hAnsi="Calibri"/>
                <w:b/>
                <w:color w:val="CC3300"/>
                <w:sz w:val="18"/>
              </w:rPr>
              <w:t>Alta</w:t>
            </w:r>
          </w:p>
        </w:tc>
        <w:tc>
          <w:tcPr>
            <w:tcW w:type="dxa" w:w="1824"/>
            <w:shd w:val="clear" w:color="auto" w:fill="F5F5F5"/>
          </w:tcPr>
          <w:p>
            <w:r>
              <w:rPr>
                <w:rFonts w:ascii="Calibri" w:hAnsi="Calibri"/>
                <w:color w:val="35353A"/>
                <w:sz w:val="18"/>
              </w:rPr>
              <w:t>Roles y restricciones de datos por sociedad/CEBES</w:t>
            </w:r>
          </w:p>
        </w:tc>
      </w:tr>
      <w:tr>
        <w:tc>
          <w:tcPr>
            <w:tcW w:type="dxa" w:w="1824"/>
            <w:shd w:val="clear" w:color="auto" w:fill="FFFFFF"/>
          </w:tcPr>
          <w:p>
            <w:r>
              <w:rPr>
                <w:rFonts w:ascii="Calibri" w:hAnsi="Calibri"/>
                <w:color w:val="35353A"/>
                <w:sz w:val="18"/>
              </w:rPr>
              <w:t>Pruebas de Usuario (UAT)</w:t>
            </w:r>
          </w:p>
        </w:tc>
        <w:tc>
          <w:tcPr>
            <w:tcW w:type="dxa" w:w="1824"/>
            <w:shd w:val="clear" w:color="auto" w:fill="FFFFFF"/>
          </w:tcPr>
          <w:p>
            <w:r>
              <w:rPr>
                <w:rFonts w:ascii="Calibri" w:hAnsi="Calibri"/>
                <w:color w:val="35353A"/>
                <w:sz w:val="18"/>
              </w:rPr>
              <w:t>Calidad</w:t>
            </w:r>
          </w:p>
        </w:tc>
        <w:tc>
          <w:tcPr>
            <w:tcW w:type="dxa" w:w="1824"/>
            <w:shd w:val="clear" w:color="auto" w:fill="FFFFFF"/>
          </w:tcPr>
          <w:p>
            <w:r>
              <w:rPr>
                <w:rFonts w:ascii="Calibri" w:hAnsi="Calibri"/>
                <w:b/>
                <w:color w:val="888888"/>
                <w:sz w:val="18"/>
              </w:rPr>
              <w:t>Pendiente</w:t>
            </w:r>
          </w:p>
        </w:tc>
        <w:tc>
          <w:tcPr>
            <w:tcW w:type="dxa" w:w="1824"/>
            <w:shd w:val="clear" w:color="auto" w:fill="FFFFFF"/>
          </w:tcPr>
          <w:p>
            <w:r>
              <w:rPr>
                <w:rFonts w:ascii="Calibri" w:hAnsi="Calibri"/>
                <w:b/>
                <w:color w:val="CC3300"/>
                <w:sz w:val="18"/>
              </w:rPr>
              <w:t>Alta</w:t>
            </w:r>
          </w:p>
        </w:tc>
        <w:tc>
          <w:tcPr>
            <w:tcW w:type="dxa" w:w="1824"/>
            <w:shd w:val="clear" w:color="auto" w:fill="FFFFFF"/>
          </w:tcPr>
          <w:p>
            <w:r>
              <w:rPr>
                <w:rFonts w:ascii="Calibri" w:hAnsi="Calibri"/>
                <w:color w:val="35353A"/>
                <w:sz w:val="18"/>
              </w:rPr>
              <w:t>Validación con key users de las 3 unidades de negocio</w:t>
            </w:r>
          </w:p>
        </w:tc>
      </w:tr>
      <w:tr>
        <w:tc>
          <w:tcPr>
            <w:tcW w:type="dxa" w:w="1824"/>
            <w:shd w:val="clear" w:color="auto" w:fill="F5F5F5"/>
          </w:tcPr>
          <w:p>
            <w:r>
              <w:rPr>
                <w:rFonts w:ascii="Calibri" w:hAnsi="Calibri"/>
                <w:color w:val="35353A"/>
                <w:sz w:val="18"/>
              </w:rPr>
              <w:t>Formación y Capacitación</w:t>
            </w:r>
          </w:p>
        </w:tc>
        <w:tc>
          <w:tcPr>
            <w:tcW w:type="dxa" w:w="1824"/>
            <w:shd w:val="clear" w:color="auto" w:fill="F5F5F5"/>
          </w:tcPr>
          <w:p>
            <w:r>
              <w:rPr>
                <w:rFonts w:ascii="Calibri" w:hAnsi="Calibri"/>
                <w:color w:val="35353A"/>
                <w:sz w:val="18"/>
              </w:rPr>
              <w:t>Change Mgmt</w:t>
            </w:r>
          </w:p>
        </w:tc>
        <w:tc>
          <w:tcPr>
            <w:tcW w:type="dxa" w:w="1824"/>
            <w:shd w:val="clear" w:color="auto" w:fill="F5F5F5"/>
          </w:tcPr>
          <w:p>
            <w:r>
              <w:rPr>
                <w:rFonts w:ascii="Calibri" w:hAnsi="Calibri"/>
                <w:b/>
                <w:color w:val="888888"/>
                <w:sz w:val="18"/>
              </w:rPr>
              <w:t>Pendiente</w:t>
            </w:r>
          </w:p>
        </w:tc>
        <w:tc>
          <w:tcPr>
            <w:tcW w:type="dxa" w:w="1824"/>
            <w:shd w:val="clear" w:color="auto" w:fill="F5F5F5"/>
          </w:tcPr>
          <w:p>
            <w:r>
              <w:rPr>
                <w:rFonts w:ascii="Calibri" w:hAnsi="Calibri"/>
                <w:color w:val="35353A"/>
                <w:sz w:val="18"/>
              </w:rPr>
              <w:t>Media</w:t>
            </w:r>
          </w:p>
        </w:tc>
        <w:tc>
          <w:tcPr>
            <w:tcW w:type="dxa" w:w="1824"/>
            <w:shd w:val="clear" w:color="auto" w:fill="F5F5F5"/>
          </w:tcPr>
          <w:p>
            <w:r>
              <w:rPr>
                <w:rFonts w:ascii="Calibri" w:hAnsi="Calibri"/>
                <w:color w:val="35353A"/>
                <w:sz w:val="18"/>
              </w:rPr>
              <w:t>Talleres SAC para usuarios finales y administradores</w:t>
            </w:r>
          </w:p>
        </w:tc>
      </w:tr>
      <w:tr>
        <w:tc>
          <w:tcPr>
            <w:tcW w:type="dxa" w:w="1824"/>
            <w:shd w:val="clear" w:color="auto" w:fill="FFFFFF"/>
          </w:tcPr>
          <w:p>
            <w:r>
              <w:rPr>
                <w:rFonts w:ascii="Calibri" w:hAnsi="Calibri"/>
                <w:color w:val="35353A"/>
                <w:sz w:val="18"/>
              </w:rPr>
              <w:t>Pase a Producción (Go-Live)</w:t>
            </w:r>
          </w:p>
        </w:tc>
        <w:tc>
          <w:tcPr>
            <w:tcW w:type="dxa" w:w="1824"/>
            <w:shd w:val="clear" w:color="auto" w:fill="FFFFFF"/>
          </w:tcPr>
          <w:p>
            <w:r>
              <w:rPr>
                <w:rFonts w:ascii="Calibri" w:hAnsi="Calibri"/>
                <w:color w:val="35353A"/>
                <w:sz w:val="18"/>
              </w:rPr>
              <w:t>Despliegue</w:t>
            </w:r>
          </w:p>
        </w:tc>
        <w:tc>
          <w:tcPr>
            <w:tcW w:type="dxa" w:w="1824"/>
            <w:shd w:val="clear" w:color="auto" w:fill="FFFFFF"/>
          </w:tcPr>
          <w:p>
            <w:r>
              <w:rPr>
                <w:rFonts w:ascii="Calibri" w:hAnsi="Calibri"/>
                <w:b/>
                <w:color w:val="888888"/>
                <w:sz w:val="18"/>
              </w:rPr>
              <w:t>Pendiente</w:t>
            </w:r>
          </w:p>
        </w:tc>
        <w:tc>
          <w:tcPr>
            <w:tcW w:type="dxa" w:w="1824"/>
            <w:shd w:val="clear" w:color="auto" w:fill="FFFFFF"/>
          </w:tcPr>
          <w:p>
            <w:r>
              <w:rPr>
                <w:rFonts w:ascii="Calibri" w:hAnsi="Calibri"/>
                <w:b/>
                <w:color w:val="CC3300"/>
                <w:sz w:val="18"/>
              </w:rPr>
              <w:t>Alta</w:t>
            </w:r>
          </w:p>
        </w:tc>
        <w:tc>
          <w:tcPr>
            <w:tcW w:type="dxa" w:w="1824"/>
            <w:shd w:val="clear" w:color="auto" w:fill="FFFFFF"/>
          </w:tcPr>
          <w:p>
            <w:r>
              <w:rPr>
                <w:rFonts w:ascii="Calibri" w:hAnsi="Calibri"/>
                <w:color w:val="35353A"/>
                <w:sz w:val="18"/>
              </w:rPr>
              <w:t>Migración de configuración DEV → QA → PRD</w:t>
            </w:r>
          </w:p>
        </w:tc>
      </w:tr>
    </w:tbl>
    <w:p/>
    <w:p>
      <w:pPr>
        <w:spacing w:before="160" w:after="60"/>
        <w:ind w:left="283"/>
      </w:pPr>
      <w:r>
        <w:rPr>
          <w:rFonts w:ascii="Calibri" w:hAnsi="Calibri"/>
          <w:b/>
          <w:color w:val="0070BF"/>
          <w:sz w:val="22"/>
        </w:rPr>
        <w:t xml:space="preserve">5.3.  </w:t>
      </w:r>
      <w:r>
        <w:rPr>
          <w:rFonts w:ascii="Calibri" w:hAnsi="Calibri"/>
          <w:b/>
          <w:color w:val="35353A"/>
          <w:sz w:val="22"/>
        </w:rPr>
        <w:t>Roles</w:t>
      </w:r>
    </w:p>
    <w:p>
      <w:pPr>
        <w:spacing w:before="60" w:after="60"/>
      </w:pPr>
      <w:r>
        <w:rPr>
          <w:rFonts w:ascii="Calibri" w:hAnsi="Calibri"/>
          <w:color w:val="35353A"/>
          <w:sz w:val="20"/>
        </w:rPr>
        <w:t>Los siguientes roles son necesarios para la operación, mantenimiento y gobierno de los modelos SAP Analytics Cloud en Fanalca S.A.: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0417A"/>
          </w:tcPr>
          <w:p>
            <w:pPr>
              <w:jc w:val="center"/>
            </w:pPr>
            <w:r>
              <w:rPr>
                <w:rFonts w:ascii="Calibri" w:hAnsi="Calibri"/>
                <w:b/>
                <w:color w:val="FFFFFF"/>
                <w:sz w:val="18"/>
              </w:rPr>
              <w:t>Rol SAC</w:t>
            </w:r>
          </w:p>
        </w:tc>
        <w:tc>
          <w:tcPr>
            <w:tcW w:type="dxa" w:w="2280"/>
            <w:shd w:val="clear" w:color="auto" w:fill="00417A"/>
          </w:tcPr>
          <w:p>
            <w:pPr>
              <w:jc w:val="center"/>
            </w:pPr>
            <w:r>
              <w:rPr>
                <w:rFonts w:ascii="Calibri" w:hAnsi="Calibri"/>
                <w:b/>
                <w:color w:val="FFFFFF"/>
                <w:sz w:val="18"/>
              </w:rPr>
              <w:t>Responsabilidades</w:t>
            </w:r>
          </w:p>
        </w:tc>
        <w:tc>
          <w:tcPr>
            <w:tcW w:type="dxa" w:w="2280"/>
            <w:shd w:val="clear" w:color="auto" w:fill="00417A"/>
          </w:tcPr>
          <w:p>
            <w:pPr>
              <w:jc w:val="center"/>
            </w:pPr>
            <w:r>
              <w:rPr>
                <w:rFonts w:ascii="Calibri" w:hAnsi="Calibri"/>
                <w:b/>
                <w:color w:val="FFFFFF"/>
                <w:sz w:val="18"/>
              </w:rPr>
              <w:t>Área</w:t>
            </w:r>
          </w:p>
        </w:tc>
        <w:tc>
          <w:tcPr>
            <w:tcW w:type="dxa" w:w="2280"/>
            <w:shd w:val="clear" w:color="auto" w:fill="00417A"/>
          </w:tcPr>
          <w:p>
            <w:pPr>
              <w:jc w:val="center"/>
            </w:pPr>
            <w:r>
              <w:rPr>
                <w:rFonts w:ascii="Calibri" w:hAnsi="Calibri"/>
                <w:b/>
                <w:color w:val="FFFFFF"/>
                <w:sz w:val="18"/>
              </w:rPr>
              <w:t>Asignación Fanalca</w:t>
            </w:r>
          </w:p>
        </w:tc>
      </w:tr>
      <w:tr>
        <w:tc>
          <w:tcPr>
            <w:tcW w:type="dxa" w:w="2280"/>
            <w:shd w:val="clear" w:color="auto" w:fill="F5F5F5"/>
          </w:tcPr>
          <w:p>
            <w:r>
              <w:rPr>
                <w:rFonts w:ascii="Calibri" w:hAnsi="Calibri"/>
                <w:b/>
                <w:color w:val="00417A"/>
                <w:sz w:val="18"/>
              </w:rPr>
              <w:t>SAC Administrator</w:t>
            </w:r>
          </w:p>
        </w:tc>
        <w:tc>
          <w:tcPr>
            <w:tcW w:type="dxa" w:w="2280"/>
            <w:shd w:val="clear" w:color="auto" w:fill="F5F5F5"/>
          </w:tcPr>
          <w:p>
            <w:r>
              <w:rPr>
                <w:rFonts w:ascii="Calibri" w:hAnsi="Calibri"/>
                <w:b w:val="0"/>
                <w:color w:val="35353A"/>
                <w:sz w:val="18"/>
              </w:rPr>
              <w:t>Administrador de la plataforma SAC. Gestión de tenants, usuarios, roles de acceso, conexiones a datos y ciclos de release.</w:t>
            </w:r>
          </w:p>
        </w:tc>
        <w:tc>
          <w:tcPr>
            <w:tcW w:type="dxa" w:w="2280"/>
            <w:shd w:val="clear" w:color="auto" w:fill="F5F5F5"/>
          </w:tcPr>
          <w:p>
            <w:r>
              <w:rPr>
                <w:rFonts w:ascii="Calibri" w:hAnsi="Calibri"/>
                <w:b w:val="0"/>
                <w:color w:val="35353A"/>
                <w:sz w:val="18"/>
              </w:rPr>
              <w:t>TI / BASIS</w:t>
            </w:r>
          </w:p>
        </w:tc>
        <w:tc>
          <w:tcPr>
            <w:tcW w:type="dxa" w:w="2280"/>
            <w:shd w:val="clear" w:color="auto" w:fill="F5F5F5"/>
          </w:tcPr>
          <w:p>
            <w:r>
              <w:rPr>
                <w:rFonts w:ascii="Calibri" w:hAnsi="Calibri"/>
                <w:b w:val="0"/>
                <w:color w:val="35353A"/>
                <w:sz w:val="18"/>
              </w:rPr>
              <w:t>Fanalca TI</w:t>
            </w:r>
          </w:p>
        </w:tc>
      </w:tr>
      <w:tr>
        <w:tc>
          <w:tcPr>
            <w:tcW w:type="dxa" w:w="2280"/>
            <w:shd w:val="clear" w:color="auto" w:fill="FFFFFF"/>
          </w:tcPr>
          <w:p>
            <w:r>
              <w:rPr>
                <w:rFonts w:ascii="Calibri" w:hAnsi="Calibri"/>
                <w:b/>
                <w:color w:val="00417A"/>
                <w:sz w:val="18"/>
              </w:rPr>
              <w:t>SAC Modeler</w:t>
            </w:r>
          </w:p>
        </w:tc>
        <w:tc>
          <w:tcPr>
            <w:tcW w:type="dxa" w:w="2280"/>
            <w:shd w:val="clear" w:color="auto" w:fill="FFFFFF"/>
          </w:tcPr>
          <w:p>
            <w:r>
              <w:rPr>
                <w:rFonts w:ascii="Calibri" w:hAnsi="Calibri"/>
                <w:b w:val="0"/>
                <w:color w:val="35353A"/>
                <w:sz w:val="18"/>
              </w:rPr>
              <w:t>Responsable de la creación y mantenimiento de los modelos analíticos, dimensiones y métricas calculadas.</w:t>
            </w:r>
          </w:p>
        </w:tc>
        <w:tc>
          <w:tcPr>
            <w:tcW w:type="dxa" w:w="2280"/>
            <w:shd w:val="clear" w:color="auto" w:fill="FFFFFF"/>
          </w:tcPr>
          <w:p>
            <w:r>
              <w:rPr>
                <w:rFonts w:ascii="Calibri" w:hAnsi="Calibri"/>
                <w:b w:val="0"/>
                <w:color w:val="35353A"/>
                <w:sz w:val="18"/>
              </w:rPr>
              <w:t>TI / Analytics CoE</w:t>
            </w:r>
          </w:p>
        </w:tc>
        <w:tc>
          <w:tcPr>
            <w:tcW w:type="dxa" w:w="2280"/>
            <w:shd w:val="clear" w:color="auto" w:fill="FFFFFF"/>
          </w:tcPr>
          <w:p>
            <w:r>
              <w:rPr>
                <w:rFonts w:ascii="Calibri" w:hAnsi="Calibri"/>
                <w:b w:val="0"/>
                <w:color w:val="35353A"/>
                <w:sz w:val="18"/>
              </w:rPr>
              <w:t>Fanalca TI / Consultor SAP</w:t>
            </w:r>
          </w:p>
        </w:tc>
      </w:tr>
      <w:tr>
        <w:tc>
          <w:tcPr>
            <w:tcW w:type="dxa" w:w="2280"/>
            <w:shd w:val="clear" w:color="auto" w:fill="F5F5F5"/>
          </w:tcPr>
          <w:p>
            <w:r>
              <w:rPr>
                <w:rFonts w:ascii="Calibri" w:hAnsi="Calibri"/>
                <w:b/>
                <w:color w:val="00417A"/>
                <w:sz w:val="18"/>
              </w:rPr>
              <w:t>SAC Story Developer</w:t>
            </w:r>
          </w:p>
        </w:tc>
        <w:tc>
          <w:tcPr>
            <w:tcW w:type="dxa" w:w="2280"/>
            <w:shd w:val="clear" w:color="auto" w:fill="F5F5F5"/>
          </w:tcPr>
          <w:p>
            <w:r>
              <w:rPr>
                <w:rFonts w:ascii="Calibri" w:hAnsi="Calibri"/>
                <w:b w:val="0"/>
                <w:color w:val="35353A"/>
                <w:sz w:val="18"/>
              </w:rPr>
              <w:t>Desarrollador de Stories, dashboards y reportes analíticos. Configuración de visualizaciones y KPIs.</w:t>
            </w:r>
          </w:p>
        </w:tc>
        <w:tc>
          <w:tcPr>
            <w:tcW w:type="dxa" w:w="2280"/>
            <w:shd w:val="clear" w:color="auto" w:fill="F5F5F5"/>
          </w:tcPr>
          <w:p>
            <w:r>
              <w:rPr>
                <w:rFonts w:ascii="Calibri" w:hAnsi="Calibri"/>
                <w:b w:val="0"/>
                <w:color w:val="35353A"/>
                <w:sz w:val="18"/>
              </w:rPr>
              <w:t>Analytics CoE</w:t>
            </w:r>
          </w:p>
        </w:tc>
        <w:tc>
          <w:tcPr>
            <w:tcW w:type="dxa" w:w="2280"/>
            <w:shd w:val="clear" w:color="auto" w:fill="F5F5F5"/>
          </w:tcPr>
          <w:p>
            <w:r>
              <w:rPr>
                <w:rFonts w:ascii="Calibri" w:hAnsi="Calibri"/>
                <w:b w:val="0"/>
                <w:color w:val="35353A"/>
                <w:sz w:val="18"/>
              </w:rPr>
              <w:t>Consultor SAP / Fanalca Analítica</w:t>
            </w:r>
          </w:p>
        </w:tc>
      </w:tr>
      <w:tr>
        <w:tc>
          <w:tcPr>
            <w:tcW w:type="dxa" w:w="2280"/>
            <w:shd w:val="clear" w:color="auto" w:fill="FFFFFF"/>
          </w:tcPr>
          <w:p>
            <w:r>
              <w:rPr>
                <w:rFonts w:ascii="Calibri" w:hAnsi="Calibri"/>
                <w:b/>
                <w:color w:val="00417A"/>
                <w:sz w:val="18"/>
              </w:rPr>
              <w:t>Finance Key User</w:t>
            </w:r>
          </w:p>
        </w:tc>
        <w:tc>
          <w:tcPr>
            <w:tcW w:type="dxa" w:w="2280"/>
            <w:shd w:val="clear" w:color="auto" w:fill="FFFFFF"/>
          </w:tcPr>
          <w:p>
            <w:r>
              <w:rPr>
                <w:rFonts w:ascii="Calibri" w:hAnsi="Calibri"/>
                <w:b w:val="0"/>
                <w:color w:val="35353A"/>
                <w:sz w:val="18"/>
              </w:rPr>
              <w:t>Usuario clave del área Financiera. Valida modelos EEFF y de Costos, aprueba datos de cierre y supervisa la integridad de la información.</w:t>
            </w:r>
          </w:p>
        </w:tc>
        <w:tc>
          <w:tcPr>
            <w:tcW w:type="dxa" w:w="2280"/>
            <w:shd w:val="clear" w:color="auto" w:fill="FFFFFF"/>
          </w:tcPr>
          <w:p>
            <w:r>
              <w:rPr>
                <w:rFonts w:ascii="Calibri" w:hAnsi="Calibri"/>
                <w:b w:val="0"/>
                <w:color w:val="35353A"/>
                <w:sz w:val="18"/>
              </w:rPr>
              <w:t>Finanzas</w:t>
            </w:r>
          </w:p>
        </w:tc>
        <w:tc>
          <w:tcPr>
            <w:tcW w:type="dxa" w:w="2280"/>
            <w:shd w:val="clear" w:color="auto" w:fill="FFFFFF"/>
          </w:tcPr>
          <w:p>
            <w:r>
              <w:rPr>
                <w:rFonts w:ascii="Calibri" w:hAnsi="Calibri"/>
                <w:b w:val="0"/>
                <w:color w:val="35353A"/>
                <w:sz w:val="18"/>
              </w:rPr>
              <w:t>Fanalca Finanzas</w:t>
            </w:r>
          </w:p>
        </w:tc>
      </w:tr>
      <w:tr>
        <w:tc>
          <w:tcPr>
            <w:tcW w:type="dxa" w:w="2280"/>
            <w:shd w:val="clear" w:color="auto" w:fill="F5F5F5"/>
          </w:tcPr>
          <w:p>
            <w:r>
              <w:rPr>
                <w:rFonts w:ascii="Calibri" w:hAnsi="Calibri"/>
                <w:b/>
                <w:color w:val="00417A"/>
                <w:sz w:val="18"/>
              </w:rPr>
              <w:t>Commercial Key User</w:t>
            </w:r>
          </w:p>
        </w:tc>
        <w:tc>
          <w:tcPr>
            <w:tcW w:type="dxa" w:w="2280"/>
            <w:shd w:val="clear" w:color="auto" w:fill="F5F5F5"/>
          </w:tcPr>
          <w:p>
            <w:r>
              <w:rPr>
                <w:rFonts w:ascii="Calibri" w:hAnsi="Calibri"/>
                <w:b w:val="0"/>
                <w:color w:val="35353A"/>
                <w:sz w:val="18"/>
              </w:rPr>
              <w:t>Usuario clave del área Comercial. Valida el modelo de Ingresos, gestiona dimensiones de clientes y referencias de producto.</w:t>
            </w:r>
          </w:p>
        </w:tc>
        <w:tc>
          <w:tcPr>
            <w:tcW w:type="dxa" w:w="2280"/>
            <w:shd w:val="clear" w:color="auto" w:fill="F5F5F5"/>
          </w:tcPr>
          <w:p>
            <w:r>
              <w:rPr>
                <w:rFonts w:ascii="Calibri" w:hAnsi="Calibri"/>
                <w:b w:val="0"/>
                <w:color w:val="35353A"/>
                <w:sz w:val="18"/>
              </w:rPr>
              <w:t>Comercial / Ventas</w:t>
            </w:r>
          </w:p>
        </w:tc>
        <w:tc>
          <w:tcPr>
            <w:tcW w:type="dxa" w:w="2280"/>
            <w:shd w:val="clear" w:color="auto" w:fill="F5F5F5"/>
          </w:tcPr>
          <w:p>
            <w:r>
              <w:rPr>
                <w:rFonts w:ascii="Calibri" w:hAnsi="Calibri"/>
                <w:b w:val="0"/>
                <w:color w:val="35353A"/>
                <w:sz w:val="18"/>
              </w:rPr>
              <w:t>Fanalca Comercial</w:t>
            </w:r>
          </w:p>
        </w:tc>
      </w:tr>
      <w:tr>
        <w:tc>
          <w:tcPr>
            <w:tcW w:type="dxa" w:w="2280"/>
            <w:shd w:val="clear" w:color="auto" w:fill="FFFFFF"/>
          </w:tcPr>
          <w:p>
            <w:r>
              <w:rPr>
                <w:rFonts w:ascii="Calibri" w:hAnsi="Calibri"/>
                <w:b/>
                <w:color w:val="00417A"/>
                <w:sz w:val="18"/>
              </w:rPr>
              <w:t>Data Owner</w:t>
            </w:r>
          </w:p>
        </w:tc>
        <w:tc>
          <w:tcPr>
            <w:tcW w:type="dxa" w:w="2280"/>
            <w:shd w:val="clear" w:color="auto" w:fill="FFFFFF"/>
          </w:tcPr>
          <w:p>
            <w:r>
              <w:rPr>
                <w:rFonts w:ascii="Calibri" w:hAnsi="Calibri"/>
                <w:b w:val="0"/>
                <w:color w:val="35353A"/>
                <w:sz w:val="18"/>
              </w:rPr>
              <w:t>Responsable de la calidad y gobierno de los datos maestros (clientes, cuentas, centros de costo/beneficio, etc.).</w:t>
            </w:r>
          </w:p>
        </w:tc>
        <w:tc>
          <w:tcPr>
            <w:tcW w:type="dxa" w:w="2280"/>
            <w:shd w:val="clear" w:color="auto" w:fill="FFFFFF"/>
          </w:tcPr>
          <w:p>
            <w:r>
              <w:rPr>
                <w:rFonts w:ascii="Calibri" w:hAnsi="Calibri"/>
                <w:b w:val="0"/>
                <w:color w:val="35353A"/>
                <w:sz w:val="18"/>
              </w:rPr>
              <w:t>Varias áreas</w:t>
            </w:r>
          </w:p>
        </w:tc>
        <w:tc>
          <w:tcPr>
            <w:tcW w:type="dxa" w:w="2280"/>
            <w:shd w:val="clear" w:color="auto" w:fill="FFFFFF"/>
          </w:tcPr>
          <w:p>
            <w:r>
              <w:rPr>
                <w:rFonts w:ascii="Calibri" w:hAnsi="Calibri"/>
                <w:b w:val="0"/>
                <w:color w:val="35353A"/>
                <w:sz w:val="18"/>
              </w:rPr>
              <w:t>Dirección de cada área</w:t>
            </w:r>
          </w:p>
        </w:tc>
      </w:tr>
      <w:tr>
        <w:tc>
          <w:tcPr>
            <w:tcW w:type="dxa" w:w="2280"/>
            <w:shd w:val="clear" w:color="auto" w:fill="F5F5F5"/>
          </w:tcPr>
          <w:p>
            <w:r>
              <w:rPr>
                <w:rFonts w:ascii="Calibri" w:hAnsi="Calibri"/>
                <w:b/>
                <w:color w:val="00417A"/>
                <w:sz w:val="18"/>
              </w:rPr>
              <w:t>End User / Viewer</w:t>
            </w:r>
          </w:p>
        </w:tc>
        <w:tc>
          <w:tcPr>
            <w:tcW w:type="dxa" w:w="2280"/>
            <w:shd w:val="clear" w:color="auto" w:fill="F5F5F5"/>
          </w:tcPr>
          <w:p>
            <w:r>
              <w:rPr>
                <w:rFonts w:ascii="Calibri" w:hAnsi="Calibri"/>
                <w:b w:val="0"/>
                <w:color w:val="35353A"/>
                <w:sz w:val="18"/>
              </w:rPr>
              <w:t>Consumidor de reportes y dashboards en SAC. Sin acceso de escritura o modificación de modelos.</w:t>
            </w:r>
          </w:p>
        </w:tc>
        <w:tc>
          <w:tcPr>
            <w:tcW w:type="dxa" w:w="2280"/>
            <w:shd w:val="clear" w:color="auto" w:fill="F5F5F5"/>
          </w:tcPr>
          <w:p>
            <w:r>
              <w:rPr>
                <w:rFonts w:ascii="Calibri" w:hAnsi="Calibri"/>
                <w:b w:val="0"/>
                <w:color w:val="35353A"/>
                <w:sz w:val="18"/>
              </w:rPr>
              <w:t>Toda la organización</w:t>
            </w:r>
          </w:p>
        </w:tc>
        <w:tc>
          <w:tcPr>
            <w:tcW w:type="dxa" w:w="2280"/>
            <w:shd w:val="clear" w:color="auto" w:fill="F5F5F5"/>
          </w:tcPr>
          <w:p>
            <w:r>
              <w:rPr>
                <w:rFonts w:ascii="Calibri" w:hAnsi="Calibri"/>
                <w:b w:val="0"/>
                <w:color w:val="35353A"/>
                <w:sz w:val="18"/>
              </w:rPr>
              <w:t>Usuarios finales</w:t>
            </w:r>
          </w:p>
        </w:tc>
      </w:tr>
    </w:tbl>
    <w:p/>
    <w:p>
      <w:pPr>
        <w:spacing w:before="160" w:after="60"/>
        <w:ind w:left="283"/>
      </w:pPr>
      <w:r>
        <w:rPr>
          <w:rFonts w:ascii="Calibri" w:hAnsi="Calibri"/>
          <w:b/>
          <w:color w:val="0070BF"/>
          <w:sz w:val="22"/>
        </w:rPr>
        <w:t xml:space="preserve">5.4.  </w:t>
      </w:r>
      <w:r>
        <w:rPr>
          <w:rFonts w:ascii="Calibri" w:hAnsi="Calibri"/>
          <w:b/>
          <w:color w:val="35353A"/>
          <w:sz w:val="22"/>
        </w:rPr>
        <w:t>Inventario de datos maestros susceptibles de migración</w:t>
      </w:r>
    </w:p>
    <w:p>
      <w:pPr>
        <w:spacing w:before="60" w:after="60"/>
      </w:pPr>
      <w:r>
        <w:rPr>
          <w:rFonts w:ascii="Calibri" w:hAnsi="Calibri"/>
          <w:color w:val="35353A"/>
          <w:sz w:val="20"/>
        </w:rPr>
        <w:t>Los siguientes datos maestros deben ser migrados / cargados en SAP Analytics Cloud como dimensiones de los modelos. Para cada maestro se indica la fuente de origen en SAP ERP y el método de carga recomendado:</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00417A"/>
          </w:tcPr>
          <w:p>
            <w:pPr>
              <w:jc w:val="center"/>
            </w:pPr>
            <w:r>
              <w:rPr>
                <w:rFonts w:ascii="Calibri" w:hAnsi="Calibri"/>
                <w:b/>
                <w:color w:val="FFFFFF"/>
                <w:sz w:val="18"/>
              </w:rPr>
              <w:t>Dato Maestro</w:t>
            </w:r>
          </w:p>
        </w:tc>
        <w:tc>
          <w:tcPr>
            <w:tcW w:type="dxa" w:w="1824"/>
            <w:shd w:val="clear" w:color="auto" w:fill="00417A"/>
          </w:tcPr>
          <w:p>
            <w:pPr>
              <w:jc w:val="center"/>
            </w:pPr>
            <w:r>
              <w:rPr>
                <w:rFonts w:ascii="Calibri" w:hAnsi="Calibri"/>
                <w:b/>
                <w:color w:val="FFFFFF"/>
                <w:sz w:val="18"/>
              </w:rPr>
              <w:t>Fuente SAP</w:t>
            </w:r>
          </w:p>
        </w:tc>
        <w:tc>
          <w:tcPr>
            <w:tcW w:type="dxa" w:w="1824"/>
            <w:shd w:val="clear" w:color="auto" w:fill="00417A"/>
          </w:tcPr>
          <w:p>
            <w:pPr>
              <w:jc w:val="center"/>
            </w:pPr>
            <w:r>
              <w:rPr>
                <w:rFonts w:ascii="Calibri" w:hAnsi="Calibri"/>
                <w:b/>
                <w:color w:val="FFFFFF"/>
                <w:sz w:val="18"/>
              </w:rPr>
              <w:t>Método de Carga</w:t>
            </w:r>
          </w:p>
        </w:tc>
        <w:tc>
          <w:tcPr>
            <w:tcW w:type="dxa" w:w="1824"/>
            <w:shd w:val="clear" w:color="auto" w:fill="00417A"/>
          </w:tcPr>
          <w:p>
            <w:pPr>
              <w:jc w:val="center"/>
            </w:pPr>
            <w:r>
              <w:rPr>
                <w:rFonts w:ascii="Calibri" w:hAnsi="Calibri"/>
                <w:b/>
                <w:color w:val="FFFFFF"/>
                <w:sz w:val="18"/>
              </w:rPr>
              <w:t>Alcance</w:t>
            </w:r>
          </w:p>
        </w:tc>
        <w:tc>
          <w:tcPr>
            <w:tcW w:type="dxa" w:w="1824"/>
            <w:shd w:val="clear" w:color="auto" w:fill="00417A"/>
          </w:tcPr>
          <w:p>
            <w:pPr>
              <w:jc w:val="center"/>
            </w:pPr>
            <w:r>
              <w:rPr>
                <w:rFonts w:ascii="Calibri" w:hAnsi="Calibri"/>
                <w:b/>
                <w:color w:val="FFFFFF"/>
                <w:sz w:val="18"/>
              </w:rPr>
              <w:t>Complejidad</w:t>
            </w:r>
          </w:p>
        </w:tc>
      </w:tr>
      <w:tr>
        <w:tc>
          <w:tcPr>
            <w:tcW w:type="dxa" w:w="1824"/>
            <w:shd w:val="clear" w:color="auto" w:fill="F5F5F5"/>
          </w:tcPr>
          <w:p>
            <w:r>
              <w:rPr>
                <w:rFonts w:ascii="Calibri" w:hAnsi="Calibri"/>
                <w:b/>
                <w:color w:val="00417A"/>
                <w:sz w:val="18"/>
              </w:rPr>
              <w:t>Clientes (CLIENTES)</w:t>
            </w:r>
          </w:p>
        </w:tc>
        <w:tc>
          <w:tcPr>
            <w:tcW w:type="dxa" w:w="1824"/>
            <w:shd w:val="clear" w:color="auto" w:fill="F5F5F5"/>
          </w:tcPr>
          <w:p>
            <w:r>
              <w:rPr>
                <w:rFonts w:ascii="Calibri" w:hAnsi="Calibri"/>
                <w:b w:val="0"/>
                <w:color w:val="35353A"/>
                <w:sz w:val="18"/>
              </w:rPr>
              <w:t>SD – KNA1</w:t>
            </w:r>
          </w:p>
        </w:tc>
        <w:tc>
          <w:tcPr>
            <w:tcW w:type="dxa" w:w="1824"/>
            <w:shd w:val="clear" w:color="auto" w:fill="F5F5F5"/>
          </w:tcPr>
          <w:p>
            <w:r>
              <w:rPr>
                <w:rFonts w:ascii="Calibri" w:hAnsi="Calibri"/>
                <w:b w:val="0"/>
                <w:color w:val="35353A"/>
                <w:sz w:val="18"/>
              </w:rPr>
              <w:t>Odata / Import CSV</w:t>
            </w:r>
          </w:p>
        </w:tc>
        <w:tc>
          <w:tcPr>
            <w:tcW w:type="dxa" w:w="1824"/>
            <w:shd w:val="clear" w:color="auto" w:fill="F5F5F5"/>
          </w:tcPr>
          <w:p>
            <w:r>
              <w:rPr>
                <w:rFonts w:ascii="Calibri" w:hAnsi="Calibri"/>
                <w:b w:val="0"/>
                <w:color w:val="35353A"/>
                <w:sz w:val="18"/>
              </w:rPr>
              <w:t>Fanalca Supermotos / Autos Honda</w:t>
            </w:r>
          </w:p>
        </w:tc>
        <w:tc>
          <w:tcPr>
            <w:tcW w:type="dxa" w:w="1824"/>
            <w:shd w:val="clear" w:color="auto" w:fill="F5F5F5"/>
          </w:tcPr>
          <w:p>
            <w:r>
              <w:rPr>
                <w:rFonts w:ascii="Calibri" w:hAnsi="Calibri"/>
                <w:b/>
                <w:color w:val="CC3300"/>
                <w:sz w:val="18"/>
              </w:rPr>
              <w:t>Alto</w:t>
            </w:r>
          </w:p>
        </w:tc>
      </w:tr>
      <w:tr>
        <w:tc>
          <w:tcPr>
            <w:tcW w:type="dxa" w:w="1824"/>
            <w:shd w:val="clear" w:color="auto" w:fill="FFFFFF"/>
          </w:tcPr>
          <w:p>
            <w:r>
              <w:rPr>
                <w:rFonts w:ascii="Calibri" w:hAnsi="Calibri"/>
                <w:b/>
                <w:color w:val="00417A"/>
                <w:sz w:val="18"/>
              </w:rPr>
              <w:t>Cuentas Contables (CUENTA)</w:t>
            </w:r>
          </w:p>
        </w:tc>
        <w:tc>
          <w:tcPr>
            <w:tcW w:type="dxa" w:w="1824"/>
            <w:shd w:val="clear" w:color="auto" w:fill="FFFFFF"/>
          </w:tcPr>
          <w:p>
            <w:r>
              <w:rPr>
                <w:rFonts w:ascii="Calibri" w:hAnsi="Calibri"/>
                <w:b w:val="0"/>
                <w:color w:val="35353A"/>
                <w:sz w:val="18"/>
              </w:rPr>
              <w:t>FI – SKA1/SKB1</w:t>
            </w:r>
          </w:p>
        </w:tc>
        <w:tc>
          <w:tcPr>
            <w:tcW w:type="dxa" w:w="1824"/>
            <w:shd w:val="clear" w:color="auto" w:fill="FFFFFF"/>
          </w:tcPr>
          <w:p>
            <w:r>
              <w:rPr>
                <w:rFonts w:ascii="Calibri" w:hAnsi="Calibri"/>
                <w:b w:val="0"/>
                <w:color w:val="35353A"/>
                <w:sz w:val="18"/>
              </w:rPr>
              <w:t>Import CSV / BW</w:t>
            </w:r>
          </w:p>
        </w:tc>
        <w:tc>
          <w:tcPr>
            <w:tcW w:type="dxa" w:w="1824"/>
            <w:shd w:val="clear" w:color="auto" w:fill="FFFFFF"/>
          </w:tcPr>
          <w:p>
            <w:r>
              <w:rPr>
                <w:rFonts w:ascii="Calibri" w:hAnsi="Calibri"/>
                <w:b w:val="0"/>
                <w:color w:val="35353A"/>
                <w:sz w:val="18"/>
              </w:rPr>
              <w:t>Todas las sociedades</w:t>
            </w:r>
          </w:p>
        </w:tc>
        <w:tc>
          <w:tcPr>
            <w:tcW w:type="dxa" w:w="1824"/>
            <w:shd w:val="clear" w:color="auto" w:fill="FFFFFF"/>
          </w:tcPr>
          <w:p>
            <w:r>
              <w:rPr>
                <w:rFonts w:ascii="Calibri" w:hAnsi="Calibri"/>
                <w:b/>
                <w:color w:val="CC3300"/>
                <w:sz w:val="18"/>
              </w:rPr>
              <w:t>Alto</w:t>
            </w:r>
          </w:p>
        </w:tc>
      </w:tr>
      <w:tr>
        <w:tc>
          <w:tcPr>
            <w:tcW w:type="dxa" w:w="1824"/>
            <w:shd w:val="clear" w:color="auto" w:fill="F5F5F5"/>
          </w:tcPr>
          <w:p>
            <w:r>
              <w:rPr>
                <w:rFonts w:ascii="Calibri" w:hAnsi="Calibri"/>
                <w:b/>
                <w:color w:val="00417A"/>
                <w:sz w:val="18"/>
              </w:rPr>
              <w:t>Cuentas de Costos (CUENTAS)</w:t>
            </w:r>
          </w:p>
        </w:tc>
        <w:tc>
          <w:tcPr>
            <w:tcW w:type="dxa" w:w="1824"/>
            <w:shd w:val="clear" w:color="auto" w:fill="F5F5F5"/>
          </w:tcPr>
          <w:p>
            <w:r>
              <w:rPr>
                <w:rFonts w:ascii="Calibri" w:hAnsi="Calibri"/>
                <w:b w:val="0"/>
                <w:color w:val="35353A"/>
                <w:sz w:val="18"/>
              </w:rPr>
              <w:t>CO – CSKA/CSKB</w:t>
            </w:r>
          </w:p>
        </w:tc>
        <w:tc>
          <w:tcPr>
            <w:tcW w:type="dxa" w:w="1824"/>
            <w:shd w:val="clear" w:color="auto" w:fill="F5F5F5"/>
          </w:tcPr>
          <w:p>
            <w:r>
              <w:rPr>
                <w:rFonts w:ascii="Calibri" w:hAnsi="Calibri"/>
                <w:b w:val="0"/>
                <w:color w:val="35353A"/>
                <w:sz w:val="18"/>
              </w:rPr>
              <w:t>Import CSV / BW</w:t>
            </w:r>
          </w:p>
        </w:tc>
        <w:tc>
          <w:tcPr>
            <w:tcW w:type="dxa" w:w="1824"/>
            <w:shd w:val="clear" w:color="auto" w:fill="F5F5F5"/>
          </w:tcPr>
          <w:p>
            <w:r>
              <w:rPr>
                <w:rFonts w:ascii="Calibri" w:hAnsi="Calibri"/>
                <w:b w:val="0"/>
                <w:color w:val="35353A"/>
                <w:sz w:val="18"/>
              </w:rPr>
              <w:t>Fanalca Metalmecánica</w:t>
            </w:r>
          </w:p>
        </w:tc>
        <w:tc>
          <w:tcPr>
            <w:tcW w:type="dxa" w:w="1824"/>
            <w:shd w:val="clear" w:color="auto" w:fill="F5F5F5"/>
          </w:tcPr>
          <w:p>
            <w:r>
              <w:rPr>
                <w:rFonts w:ascii="Calibri" w:hAnsi="Calibri"/>
                <w:b/>
                <w:color w:val="CC3300"/>
                <w:sz w:val="18"/>
              </w:rPr>
              <w:t>Alto</w:t>
            </w:r>
          </w:p>
        </w:tc>
      </w:tr>
      <w:tr>
        <w:tc>
          <w:tcPr>
            <w:tcW w:type="dxa" w:w="1824"/>
            <w:shd w:val="clear" w:color="auto" w:fill="FFFFFF"/>
          </w:tcPr>
          <w:p>
            <w:r>
              <w:rPr>
                <w:rFonts w:ascii="Calibri" w:hAnsi="Calibri"/>
                <w:b/>
                <w:color w:val="00417A"/>
                <w:sz w:val="18"/>
              </w:rPr>
              <w:t>Centros de Costo (CECOS)</w:t>
            </w:r>
          </w:p>
        </w:tc>
        <w:tc>
          <w:tcPr>
            <w:tcW w:type="dxa" w:w="1824"/>
            <w:shd w:val="clear" w:color="auto" w:fill="FFFFFF"/>
          </w:tcPr>
          <w:p>
            <w:r>
              <w:rPr>
                <w:rFonts w:ascii="Calibri" w:hAnsi="Calibri"/>
                <w:b w:val="0"/>
                <w:color w:val="35353A"/>
                <w:sz w:val="18"/>
              </w:rPr>
              <w:t>CO – CSKS</w:t>
            </w:r>
          </w:p>
        </w:tc>
        <w:tc>
          <w:tcPr>
            <w:tcW w:type="dxa" w:w="1824"/>
            <w:shd w:val="clear" w:color="auto" w:fill="FFFFFF"/>
          </w:tcPr>
          <w:p>
            <w:r>
              <w:rPr>
                <w:rFonts w:ascii="Calibri" w:hAnsi="Calibri"/>
                <w:b w:val="0"/>
                <w:color w:val="35353A"/>
                <w:sz w:val="18"/>
              </w:rPr>
              <w:t>Import CSV / OData</w:t>
            </w:r>
          </w:p>
        </w:tc>
        <w:tc>
          <w:tcPr>
            <w:tcW w:type="dxa" w:w="1824"/>
            <w:shd w:val="clear" w:color="auto" w:fill="FFFFFF"/>
          </w:tcPr>
          <w:p>
            <w:r>
              <w:rPr>
                <w:rFonts w:ascii="Calibri" w:hAnsi="Calibri"/>
                <w:b w:val="0"/>
                <w:color w:val="35353A"/>
                <w:sz w:val="18"/>
              </w:rPr>
              <w:t>Fanalca Metalmecánica</w:t>
            </w:r>
          </w:p>
        </w:tc>
        <w:tc>
          <w:tcPr>
            <w:tcW w:type="dxa" w:w="1824"/>
            <w:shd w:val="clear" w:color="auto" w:fill="FFFFFF"/>
          </w:tcPr>
          <w:p>
            <w:r>
              <w:rPr>
                <w:rFonts w:ascii="Calibri" w:hAnsi="Calibri"/>
                <w:b/>
                <w:color w:val="CC3300"/>
                <w:sz w:val="18"/>
              </w:rPr>
              <w:t>Alto</w:t>
            </w:r>
          </w:p>
        </w:tc>
      </w:tr>
      <w:tr>
        <w:tc>
          <w:tcPr>
            <w:tcW w:type="dxa" w:w="1824"/>
            <w:shd w:val="clear" w:color="auto" w:fill="F5F5F5"/>
          </w:tcPr>
          <w:p>
            <w:r>
              <w:rPr>
                <w:rFonts w:ascii="Calibri" w:hAnsi="Calibri"/>
                <w:b/>
                <w:color w:val="00417A"/>
                <w:sz w:val="18"/>
              </w:rPr>
              <w:t>Centros de Beneficio (CEBES)</w:t>
            </w:r>
          </w:p>
        </w:tc>
        <w:tc>
          <w:tcPr>
            <w:tcW w:type="dxa" w:w="1824"/>
            <w:shd w:val="clear" w:color="auto" w:fill="F5F5F5"/>
          </w:tcPr>
          <w:p>
            <w:r>
              <w:rPr>
                <w:rFonts w:ascii="Calibri" w:hAnsi="Calibri"/>
                <w:b w:val="0"/>
                <w:color w:val="35353A"/>
                <w:sz w:val="18"/>
              </w:rPr>
              <w:t>CO-PCA – CEPC</w:t>
            </w:r>
          </w:p>
        </w:tc>
        <w:tc>
          <w:tcPr>
            <w:tcW w:type="dxa" w:w="1824"/>
            <w:shd w:val="clear" w:color="auto" w:fill="F5F5F5"/>
          </w:tcPr>
          <w:p>
            <w:r>
              <w:rPr>
                <w:rFonts w:ascii="Calibri" w:hAnsi="Calibri"/>
                <w:b w:val="0"/>
                <w:color w:val="35353A"/>
                <w:sz w:val="18"/>
              </w:rPr>
              <w:t>Import CSV / OData</w:t>
            </w:r>
          </w:p>
        </w:tc>
        <w:tc>
          <w:tcPr>
            <w:tcW w:type="dxa" w:w="1824"/>
            <w:shd w:val="clear" w:color="auto" w:fill="F5F5F5"/>
          </w:tcPr>
          <w:p>
            <w:r>
              <w:rPr>
                <w:rFonts w:ascii="Calibri" w:hAnsi="Calibri"/>
                <w:b w:val="0"/>
                <w:color w:val="35353A"/>
                <w:sz w:val="18"/>
              </w:rPr>
              <w:t>Todas las unidades</w:t>
            </w:r>
          </w:p>
        </w:tc>
        <w:tc>
          <w:tcPr>
            <w:tcW w:type="dxa" w:w="1824"/>
            <w:shd w:val="clear" w:color="auto" w:fill="F5F5F5"/>
          </w:tcPr>
          <w:p>
            <w:r>
              <w:rPr>
                <w:rFonts w:ascii="Calibri" w:hAnsi="Calibri"/>
                <w:b/>
                <w:color w:val="CC3300"/>
                <w:sz w:val="18"/>
              </w:rPr>
              <w:t>Alto</w:t>
            </w:r>
          </w:p>
        </w:tc>
      </w:tr>
      <w:tr>
        <w:tc>
          <w:tcPr>
            <w:tcW w:type="dxa" w:w="1824"/>
            <w:shd w:val="clear" w:color="auto" w:fill="FFFFFF"/>
          </w:tcPr>
          <w:p>
            <w:r>
              <w:rPr>
                <w:rFonts w:ascii="Calibri" w:hAnsi="Calibri"/>
                <w:b/>
                <w:color w:val="00417A"/>
                <w:sz w:val="18"/>
              </w:rPr>
              <w:t>Sociedades (SOCIEDAD)</w:t>
            </w:r>
          </w:p>
        </w:tc>
        <w:tc>
          <w:tcPr>
            <w:tcW w:type="dxa" w:w="1824"/>
            <w:shd w:val="clear" w:color="auto" w:fill="FFFFFF"/>
          </w:tcPr>
          <w:p>
            <w:r>
              <w:rPr>
                <w:rFonts w:ascii="Calibri" w:hAnsi="Calibri"/>
                <w:b w:val="0"/>
                <w:color w:val="35353A"/>
                <w:sz w:val="18"/>
              </w:rPr>
              <w:t>FI – T001</w:t>
            </w:r>
          </w:p>
        </w:tc>
        <w:tc>
          <w:tcPr>
            <w:tcW w:type="dxa" w:w="1824"/>
            <w:shd w:val="clear" w:color="auto" w:fill="FFFFFF"/>
          </w:tcPr>
          <w:p>
            <w:r>
              <w:rPr>
                <w:rFonts w:ascii="Calibri" w:hAnsi="Calibri"/>
                <w:b w:val="0"/>
                <w:color w:val="35353A"/>
                <w:sz w:val="18"/>
              </w:rPr>
              <w:t>Import CSV manual</w:t>
            </w:r>
          </w:p>
        </w:tc>
        <w:tc>
          <w:tcPr>
            <w:tcW w:type="dxa" w:w="1824"/>
            <w:shd w:val="clear" w:color="auto" w:fill="FFFFFF"/>
          </w:tcPr>
          <w:p>
            <w:r>
              <w:rPr>
                <w:rFonts w:ascii="Calibri" w:hAnsi="Calibri"/>
                <w:b w:val="0"/>
                <w:color w:val="35353A"/>
                <w:sz w:val="18"/>
              </w:rPr>
              <w:t>Todas las unidades</w:t>
            </w:r>
          </w:p>
        </w:tc>
        <w:tc>
          <w:tcPr>
            <w:tcW w:type="dxa" w:w="1824"/>
            <w:shd w:val="clear" w:color="auto" w:fill="FFFFFF"/>
          </w:tcPr>
          <w:p>
            <w:r>
              <w:rPr>
                <w:rFonts w:ascii="Calibri" w:hAnsi="Calibri"/>
                <w:b/>
                <w:color w:val="F0AB00"/>
                <w:sz w:val="18"/>
              </w:rPr>
              <w:t>Medio</w:t>
            </w:r>
          </w:p>
        </w:tc>
      </w:tr>
      <w:tr>
        <w:tc>
          <w:tcPr>
            <w:tcW w:type="dxa" w:w="1824"/>
            <w:shd w:val="clear" w:color="auto" w:fill="F5F5F5"/>
          </w:tcPr>
          <w:p>
            <w:r>
              <w:rPr>
                <w:rFonts w:ascii="Calibri" w:hAnsi="Calibri"/>
                <w:b/>
                <w:color w:val="00417A"/>
                <w:sz w:val="18"/>
              </w:rPr>
              <w:t>Referencias de Producto (REF)</w:t>
            </w:r>
          </w:p>
        </w:tc>
        <w:tc>
          <w:tcPr>
            <w:tcW w:type="dxa" w:w="1824"/>
            <w:shd w:val="clear" w:color="auto" w:fill="F5F5F5"/>
          </w:tcPr>
          <w:p>
            <w:r>
              <w:rPr>
                <w:rFonts w:ascii="Calibri" w:hAnsi="Calibri"/>
                <w:b w:val="0"/>
                <w:color w:val="35353A"/>
                <w:sz w:val="18"/>
              </w:rPr>
              <w:t>MM – MARA/MVKE</w:t>
            </w:r>
          </w:p>
        </w:tc>
        <w:tc>
          <w:tcPr>
            <w:tcW w:type="dxa" w:w="1824"/>
            <w:shd w:val="clear" w:color="auto" w:fill="F5F5F5"/>
          </w:tcPr>
          <w:p>
            <w:r>
              <w:rPr>
                <w:rFonts w:ascii="Calibri" w:hAnsi="Calibri"/>
                <w:b w:val="0"/>
                <w:color w:val="35353A"/>
                <w:sz w:val="18"/>
              </w:rPr>
              <w:t>Import CSV / BW</w:t>
            </w:r>
          </w:p>
        </w:tc>
        <w:tc>
          <w:tcPr>
            <w:tcW w:type="dxa" w:w="1824"/>
            <w:shd w:val="clear" w:color="auto" w:fill="F5F5F5"/>
          </w:tcPr>
          <w:p>
            <w:r>
              <w:rPr>
                <w:rFonts w:ascii="Calibri" w:hAnsi="Calibri"/>
                <w:b w:val="0"/>
                <w:color w:val="35353A"/>
                <w:sz w:val="18"/>
              </w:rPr>
              <w:t>Fanalca Supermotos / Autos</w:t>
            </w:r>
          </w:p>
        </w:tc>
        <w:tc>
          <w:tcPr>
            <w:tcW w:type="dxa" w:w="1824"/>
            <w:shd w:val="clear" w:color="auto" w:fill="F5F5F5"/>
          </w:tcPr>
          <w:p>
            <w:r>
              <w:rPr>
                <w:rFonts w:ascii="Calibri" w:hAnsi="Calibri"/>
                <w:b/>
                <w:color w:val="CC3300"/>
                <w:sz w:val="18"/>
              </w:rPr>
              <w:t>Alto</w:t>
            </w:r>
          </w:p>
        </w:tc>
      </w:tr>
      <w:tr>
        <w:tc>
          <w:tcPr>
            <w:tcW w:type="dxa" w:w="1824"/>
            <w:shd w:val="clear" w:color="auto" w:fill="FFFFFF"/>
          </w:tcPr>
          <w:p>
            <w:r>
              <w:rPr>
                <w:rFonts w:ascii="Calibri" w:hAnsi="Calibri"/>
                <w:b/>
                <w:color w:val="00417A"/>
                <w:sz w:val="18"/>
              </w:rPr>
              <w:t>Monedas (MONEDA)</w:t>
            </w:r>
          </w:p>
        </w:tc>
        <w:tc>
          <w:tcPr>
            <w:tcW w:type="dxa" w:w="1824"/>
            <w:shd w:val="clear" w:color="auto" w:fill="FFFFFF"/>
          </w:tcPr>
          <w:p>
            <w:r>
              <w:rPr>
                <w:rFonts w:ascii="Calibri" w:hAnsi="Calibri"/>
                <w:b w:val="0"/>
                <w:color w:val="35353A"/>
                <w:sz w:val="18"/>
              </w:rPr>
              <w:t>FI – TCURC</w:t>
            </w:r>
          </w:p>
        </w:tc>
        <w:tc>
          <w:tcPr>
            <w:tcW w:type="dxa" w:w="1824"/>
            <w:shd w:val="clear" w:color="auto" w:fill="FFFFFF"/>
          </w:tcPr>
          <w:p>
            <w:r>
              <w:rPr>
                <w:rFonts w:ascii="Calibri" w:hAnsi="Calibri"/>
                <w:b w:val="0"/>
                <w:color w:val="35353A"/>
                <w:sz w:val="18"/>
              </w:rPr>
              <w:t>Import CSV manual</w:t>
            </w:r>
          </w:p>
        </w:tc>
        <w:tc>
          <w:tcPr>
            <w:tcW w:type="dxa" w:w="1824"/>
            <w:shd w:val="clear" w:color="auto" w:fill="FFFFFF"/>
          </w:tcPr>
          <w:p>
            <w:r>
              <w:rPr>
                <w:rFonts w:ascii="Calibri" w:hAnsi="Calibri"/>
                <w:b w:val="0"/>
                <w:color w:val="35353A"/>
                <w:sz w:val="18"/>
              </w:rPr>
              <w:t>Todas las unidades</w:t>
            </w:r>
          </w:p>
        </w:tc>
        <w:tc>
          <w:tcPr>
            <w:tcW w:type="dxa" w:w="1824"/>
            <w:shd w:val="clear" w:color="auto" w:fill="FFFFFF"/>
          </w:tcPr>
          <w:p>
            <w:r>
              <w:rPr>
                <w:rFonts w:ascii="Calibri" w:hAnsi="Calibri"/>
                <w:b/>
                <w:color w:val="107454"/>
                <w:sz w:val="18"/>
              </w:rPr>
              <w:t>Bajo</w:t>
            </w:r>
          </w:p>
        </w:tc>
      </w:tr>
      <w:tr>
        <w:tc>
          <w:tcPr>
            <w:tcW w:type="dxa" w:w="1824"/>
            <w:shd w:val="clear" w:color="auto" w:fill="F5F5F5"/>
          </w:tcPr>
          <w:p>
            <w:r>
              <w:rPr>
                <w:rFonts w:ascii="Calibri" w:hAnsi="Calibri"/>
                <w:b/>
                <w:color w:val="00417A"/>
                <w:sz w:val="18"/>
              </w:rPr>
              <w:t>Dimensión Auditoría (AUD)</w:t>
            </w:r>
          </w:p>
        </w:tc>
        <w:tc>
          <w:tcPr>
            <w:tcW w:type="dxa" w:w="1824"/>
            <w:shd w:val="clear" w:color="auto" w:fill="F5F5F5"/>
          </w:tcPr>
          <w:p>
            <w:r>
              <w:rPr>
                <w:rFonts w:ascii="Calibri" w:hAnsi="Calibri"/>
                <w:b w:val="0"/>
                <w:color w:val="35353A"/>
                <w:sz w:val="18"/>
              </w:rPr>
              <w:t>Definición manual</w:t>
            </w:r>
          </w:p>
        </w:tc>
        <w:tc>
          <w:tcPr>
            <w:tcW w:type="dxa" w:w="1824"/>
            <w:shd w:val="clear" w:color="auto" w:fill="F5F5F5"/>
          </w:tcPr>
          <w:p>
            <w:r>
              <w:rPr>
                <w:rFonts w:ascii="Calibri" w:hAnsi="Calibri"/>
                <w:b w:val="0"/>
                <w:color w:val="35353A"/>
                <w:sz w:val="18"/>
              </w:rPr>
              <w:t>Carga manual SAC</w:t>
            </w:r>
          </w:p>
        </w:tc>
        <w:tc>
          <w:tcPr>
            <w:tcW w:type="dxa" w:w="1824"/>
            <w:shd w:val="clear" w:color="auto" w:fill="F5F5F5"/>
          </w:tcPr>
          <w:p>
            <w:r>
              <w:rPr>
                <w:rFonts w:ascii="Calibri" w:hAnsi="Calibri"/>
                <w:b w:val="0"/>
                <w:color w:val="35353A"/>
                <w:sz w:val="18"/>
              </w:rPr>
              <w:t>Equipo de TI</w:t>
            </w:r>
          </w:p>
        </w:tc>
        <w:tc>
          <w:tcPr>
            <w:tcW w:type="dxa" w:w="1824"/>
            <w:shd w:val="clear" w:color="auto" w:fill="F5F5F5"/>
          </w:tcPr>
          <w:p>
            <w:r>
              <w:rPr>
                <w:rFonts w:ascii="Calibri" w:hAnsi="Calibri"/>
                <w:b/>
                <w:color w:val="107454"/>
                <w:sz w:val="18"/>
              </w:rPr>
              <w:t>Bajo</w:t>
            </w:r>
          </w:p>
        </w:tc>
      </w:tr>
      <w:tr>
        <w:tc>
          <w:tcPr>
            <w:tcW w:type="dxa" w:w="1824"/>
            <w:shd w:val="clear" w:color="auto" w:fill="FFFFFF"/>
          </w:tcPr>
          <w:p>
            <w:r>
              <w:rPr>
                <w:rFonts w:ascii="Calibri" w:hAnsi="Calibri"/>
                <w:b/>
                <w:color w:val="00417A"/>
                <w:sz w:val="18"/>
              </w:rPr>
              <w:t>Versiones (VERSION)</w:t>
            </w:r>
          </w:p>
        </w:tc>
        <w:tc>
          <w:tcPr>
            <w:tcW w:type="dxa" w:w="1824"/>
            <w:shd w:val="clear" w:color="auto" w:fill="FFFFFF"/>
          </w:tcPr>
          <w:p>
            <w:r>
              <w:rPr>
                <w:rFonts w:ascii="Calibri" w:hAnsi="Calibri"/>
                <w:b w:val="0"/>
                <w:color w:val="35353A"/>
                <w:sz w:val="18"/>
              </w:rPr>
              <w:t>Estándar SAC</w:t>
            </w:r>
          </w:p>
        </w:tc>
        <w:tc>
          <w:tcPr>
            <w:tcW w:type="dxa" w:w="1824"/>
            <w:shd w:val="clear" w:color="auto" w:fill="FFFFFF"/>
          </w:tcPr>
          <w:p>
            <w:r>
              <w:rPr>
                <w:rFonts w:ascii="Calibri" w:hAnsi="Calibri"/>
                <w:b w:val="0"/>
                <w:color w:val="35353A"/>
                <w:sz w:val="18"/>
              </w:rPr>
              <w:t>Configuración SAC</w:t>
            </w:r>
          </w:p>
        </w:tc>
        <w:tc>
          <w:tcPr>
            <w:tcW w:type="dxa" w:w="1824"/>
            <w:shd w:val="clear" w:color="auto" w:fill="FFFFFF"/>
          </w:tcPr>
          <w:p>
            <w:r>
              <w:rPr>
                <w:rFonts w:ascii="Calibri" w:hAnsi="Calibri"/>
                <w:b w:val="0"/>
                <w:color w:val="35353A"/>
                <w:sz w:val="18"/>
              </w:rPr>
              <w:t>Equipo de implementación</w:t>
            </w:r>
          </w:p>
        </w:tc>
        <w:tc>
          <w:tcPr>
            <w:tcW w:type="dxa" w:w="1824"/>
            <w:shd w:val="clear" w:color="auto" w:fill="FFFFFF"/>
          </w:tcPr>
          <w:p>
            <w:r>
              <w:rPr>
                <w:rFonts w:ascii="Calibri" w:hAnsi="Calibri"/>
                <w:b/>
                <w:color w:val="107454"/>
                <w:sz w:val="18"/>
              </w:rPr>
              <w:t>Bajo</w:t>
            </w:r>
          </w:p>
        </w:tc>
      </w:tr>
    </w:tbl>
    <w:p/>
    <w:p>
      <w:r>
        <w:br w:type="page"/>
      </w:r>
    </w:p>
    <w:p>
      <w:pPr>
        <w:spacing w:before="160" w:after="60"/>
        <w:ind w:left="283"/>
      </w:pPr>
      <w:r>
        <w:rPr>
          <w:rFonts w:ascii="Calibri" w:hAnsi="Calibri"/>
          <w:b/>
          <w:color w:val="0070BF"/>
          <w:sz w:val="22"/>
        </w:rPr>
        <w:t xml:space="preserve">5.5.  </w:t>
      </w:r>
      <w:r>
        <w:rPr>
          <w:rFonts w:ascii="Calibri" w:hAnsi="Calibri"/>
          <w:b/>
          <w:color w:val="35353A"/>
          <w:sz w:val="22"/>
        </w:rPr>
        <w:t>Componente de Solución Técnica Relacionada</w:t>
      </w:r>
    </w:p>
    <w:p>
      <w:pPr>
        <w:spacing w:before="60" w:after="60"/>
      </w:pPr>
      <w:r>
        <w:rPr>
          <w:rFonts w:ascii="Calibri" w:hAnsi="Calibri"/>
          <w:color w:val="35353A"/>
          <w:sz w:val="20"/>
        </w:rPr>
        <w:t>La arquitectura técnica de la solución SAP Analytics Cloud para Fanalca S.A. comprende los siguientes componentes de plataforma y conectividad: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0417A"/>
          </w:tcPr>
          <w:p>
            <w:pPr>
              <w:jc w:val="center"/>
            </w:pPr>
            <w:r>
              <w:rPr>
                <w:rFonts w:ascii="Calibri" w:hAnsi="Calibri"/>
                <w:b/>
                <w:color w:val="FFFFFF"/>
                <w:sz w:val="18"/>
              </w:rPr>
              <w:t>Componente</w:t>
            </w:r>
          </w:p>
        </w:tc>
        <w:tc>
          <w:tcPr>
            <w:tcW w:type="dxa" w:w="2280"/>
            <w:shd w:val="clear" w:color="auto" w:fill="00417A"/>
          </w:tcPr>
          <w:p>
            <w:pPr>
              <w:jc w:val="center"/>
            </w:pPr>
            <w:r>
              <w:rPr>
                <w:rFonts w:ascii="Calibri" w:hAnsi="Calibri"/>
                <w:b/>
                <w:color w:val="FFFFFF"/>
                <w:sz w:val="18"/>
              </w:rPr>
              <w:t>Descripción</w:t>
            </w:r>
          </w:p>
        </w:tc>
        <w:tc>
          <w:tcPr>
            <w:tcW w:type="dxa" w:w="2280"/>
            <w:shd w:val="clear" w:color="auto" w:fill="00417A"/>
          </w:tcPr>
          <w:p>
            <w:pPr>
              <w:jc w:val="center"/>
            </w:pPr>
            <w:r>
              <w:rPr>
                <w:rFonts w:ascii="Calibri" w:hAnsi="Calibri"/>
                <w:b/>
                <w:color w:val="FFFFFF"/>
                <w:sz w:val="18"/>
              </w:rPr>
              <w:t>Entorno</w:t>
            </w:r>
          </w:p>
        </w:tc>
        <w:tc>
          <w:tcPr>
            <w:tcW w:type="dxa" w:w="2280"/>
            <w:shd w:val="clear" w:color="auto" w:fill="00417A"/>
          </w:tcPr>
          <w:p>
            <w:pPr>
              <w:jc w:val="center"/>
            </w:pPr>
            <w:r>
              <w:rPr>
                <w:rFonts w:ascii="Calibri" w:hAnsi="Calibri"/>
                <w:b/>
                <w:color w:val="FFFFFF"/>
                <w:sz w:val="18"/>
              </w:rPr>
              <w:t>Versión / Nota</w:t>
            </w:r>
          </w:p>
        </w:tc>
      </w:tr>
      <w:tr>
        <w:tc>
          <w:tcPr>
            <w:tcW w:type="dxa" w:w="2280"/>
            <w:shd w:val="clear" w:color="auto" w:fill="F5F5F5"/>
          </w:tcPr>
          <w:p>
            <w:r>
              <w:rPr>
                <w:rFonts w:ascii="Calibri" w:hAnsi="Calibri"/>
                <w:b/>
                <w:color w:val="00417A"/>
                <w:sz w:val="18"/>
              </w:rPr>
              <w:t>SAP Analytics Cloud (SAC)</w:t>
            </w:r>
          </w:p>
        </w:tc>
        <w:tc>
          <w:tcPr>
            <w:tcW w:type="dxa" w:w="2280"/>
            <w:shd w:val="clear" w:color="auto" w:fill="F5F5F5"/>
          </w:tcPr>
          <w:p>
            <w:r>
              <w:rPr>
                <w:rFonts w:ascii="Calibri" w:hAnsi="Calibri"/>
                <w:b w:val="0"/>
                <w:color w:val="35353A"/>
                <w:sz w:val="18"/>
              </w:rPr>
              <w:t>Plataforma principal de analítica y planificación en la nube (SaaS). Alojada en SAP BTP (Business Technology Platform) en la región us10 (América).</w:t>
            </w:r>
          </w:p>
        </w:tc>
        <w:tc>
          <w:tcPr>
            <w:tcW w:type="dxa" w:w="2280"/>
            <w:shd w:val="clear" w:color="auto" w:fill="F5F5F5"/>
          </w:tcPr>
          <w:p>
            <w:r>
              <w:rPr>
                <w:rFonts w:ascii="Calibri" w:hAnsi="Calibri"/>
                <w:b w:val="0"/>
                <w:color w:val="35353A"/>
                <w:sz w:val="18"/>
              </w:rPr>
              <w:t>SAP BTP – SaaS</w:t>
            </w:r>
          </w:p>
        </w:tc>
        <w:tc>
          <w:tcPr>
            <w:tcW w:type="dxa" w:w="2280"/>
            <w:shd w:val="clear" w:color="auto" w:fill="F5F5F5"/>
          </w:tcPr>
          <w:p>
            <w:r>
              <w:rPr>
                <w:rFonts w:ascii="Calibri" w:hAnsi="Calibri"/>
                <w:b w:val="0"/>
                <w:color w:val="35353A"/>
                <w:sz w:val="18"/>
              </w:rPr>
              <w:t>Producción / QA / Desarrollo</w:t>
            </w:r>
          </w:p>
        </w:tc>
      </w:tr>
      <w:tr>
        <w:tc>
          <w:tcPr>
            <w:tcW w:type="dxa" w:w="2280"/>
            <w:shd w:val="clear" w:color="auto" w:fill="FFFFFF"/>
          </w:tcPr>
          <w:p>
            <w:r>
              <w:rPr>
                <w:rFonts w:ascii="Calibri" w:hAnsi="Calibri"/>
                <w:b/>
                <w:color w:val="00417A"/>
                <w:sz w:val="18"/>
              </w:rPr>
              <w:t>SAP S/4HANA / ERP On-Premise</w:t>
            </w:r>
          </w:p>
        </w:tc>
        <w:tc>
          <w:tcPr>
            <w:tcW w:type="dxa" w:w="2280"/>
            <w:shd w:val="clear" w:color="auto" w:fill="FFFFFF"/>
          </w:tcPr>
          <w:p>
            <w:r>
              <w:rPr>
                <w:rFonts w:ascii="Calibri" w:hAnsi="Calibri"/>
                <w:b w:val="0"/>
                <w:color w:val="35353A"/>
                <w:sz w:val="18"/>
              </w:rPr>
              <w:t>Sistema fuente de datos transaccionales. Módulos FI (Contabilidad), CO (Controlling), SD (Ventas) y MM (Materiales) como fuentes primarias de datos para los modelos SAC.</w:t>
            </w:r>
          </w:p>
        </w:tc>
        <w:tc>
          <w:tcPr>
            <w:tcW w:type="dxa" w:w="2280"/>
            <w:shd w:val="clear" w:color="auto" w:fill="FFFFFF"/>
          </w:tcPr>
          <w:p>
            <w:r>
              <w:rPr>
                <w:rFonts w:ascii="Calibri" w:hAnsi="Calibri"/>
                <w:b w:val="0"/>
                <w:color w:val="35353A"/>
                <w:sz w:val="18"/>
              </w:rPr>
              <w:t>On-Premise Colombia</w:t>
            </w:r>
          </w:p>
        </w:tc>
        <w:tc>
          <w:tcPr>
            <w:tcW w:type="dxa" w:w="2280"/>
            <w:shd w:val="clear" w:color="auto" w:fill="FFFFFF"/>
          </w:tcPr>
          <w:p>
            <w:r>
              <w:rPr>
                <w:rFonts w:ascii="Calibri" w:hAnsi="Calibri"/>
                <w:b w:val="0"/>
                <w:color w:val="35353A"/>
                <w:sz w:val="18"/>
              </w:rPr>
              <w:t>Release SAP compatible</w:t>
            </w:r>
          </w:p>
        </w:tc>
      </w:tr>
      <w:tr>
        <w:tc>
          <w:tcPr>
            <w:tcW w:type="dxa" w:w="2280"/>
            <w:shd w:val="clear" w:color="auto" w:fill="F5F5F5"/>
          </w:tcPr>
          <w:p>
            <w:r>
              <w:rPr>
                <w:rFonts w:ascii="Calibri" w:hAnsi="Calibri"/>
                <w:b/>
                <w:color w:val="00417A"/>
                <w:sz w:val="18"/>
              </w:rPr>
              <w:t>SAP BW/4HANA (Data Warehouse)</w:t>
            </w:r>
          </w:p>
        </w:tc>
        <w:tc>
          <w:tcPr>
            <w:tcW w:type="dxa" w:w="2280"/>
            <w:shd w:val="clear" w:color="auto" w:fill="F5F5F5"/>
          </w:tcPr>
          <w:p>
            <w:r>
              <w:rPr>
                <w:rFonts w:ascii="Calibri" w:hAnsi="Calibri"/>
                <w:b w:val="0"/>
                <w:color w:val="35353A"/>
                <w:sz w:val="18"/>
              </w:rPr>
              <w:t>Capa de Data Warehouse para consolidación, transformación y carga de datos hacia SAC. Provee las InfoProviders y DataFlows para la alimentación de los modelos.</w:t>
            </w:r>
          </w:p>
        </w:tc>
        <w:tc>
          <w:tcPr>
            <w:tcW w:type="dxa" w:w="2280"/>
            <w:shd w:val="clear" w:color="auto" w:fill="F5F5F5"/>
          </w:tcPr>
          <w:p>
            <w:r>
              <w:rPr>
                <w:rFonts w:ascii="Calibri" w:hAnsi="Calibri"/>
                <w:b w:val="0"/>
                <w:color w:val="35353A"/>
                <w:sz w:val="18"/>
              </w:rPr>
              <w:t>On-Premise / Cloud</w:t>
            </w:r>
          </w:p>
        </w:tc>
        <w:tc>
          <w:tcPr>
            <w:tcW w:type="dxa" w:w="2280"/>
            <w:shd w:val="clear" w:color="auto" w:fill="F5F5F5"/>
          </w:tcPr>
          <w:p>
            <w:r>
              <w:rPr>
                <w:rFonts w:ascii="Calibri" w:hAnsi="Calibri"/>
                <w:b w:val="0"/>
                <w:color w:val="35353A"/>
                <w:sz w:val="18"/>
              </w:rPr>
              <w:t>BW/4HANA 2.0+</w:t>
            </w:r>
          </w:p>
        </w:tc>
      </w:tr>
      <w:tr>
        <w:tc>
          <w:tcPr>
            <w:tcW w:type="dxa" w:w="2280"/>
            <w:shd w:val="clear" w:color="auto" w:fill="FFFFFF"/>
          </w:tcPr>
          <w:p>
            <w:r>
              <w:rPr>
                <w:rFonts w:ascii="Calibri" w:hAnsi="Calibri"/>
                <w:b/>
                <w:color w:val="00417A"/>
                <w:sz w:val="18"/>
              </w:rPr>
              <w:t>SAP Data Services / SLT</w:t>
            </w:r>
          </w:p>
        </w:tc>
        <w:tc>
          <w:tcPr>
            <w:tcW w:type="dxa" w:w="2280"/>
            <w:shd w:val="clear" w:color="auto" w:fill="FFFFFF"/>
          </w:tcPr>
          <w:p>
            <w:r>
              <w:rPr>
                <w:rFonts w:ascii="Calibri" w:hAnsi="Calibri"/>
                <w:b w:val="0"/>
                <w:color w:val="35353A"/>
                <w:sz w:val="18"/>
              </w:rPr>
              <w:t>Herramienta de replicación y transformación de datos desde SAP ERP hacia SAP BW/4HANA o directamente a SAC vía OData.</w:t>
            </w:r>
          </w:p>
        </w:tc>
        <w:tc>
          <w:tcPr>
            <w:tcW w:type="dxa" w:w="2280"/>
            <w:shd w:val="clear" w:color="auto" w:fill="FFFFFF"/>
          </w:tcPr>
          <w:p>
            <w:r>
              <w:rPr>
                <w:rFonts w:ascii="Calibri" w:hAnsi="Calibri"/>
                <w:b w:val="0"/>
                <w:color w:val="35353A"/>
                <w:sz w:val="18"/>
              </w:rPr>
              <w:t>On-Premise</w:t>
            </w:r>
          </w:p>
        </w:tc>
        <w:tc>
          <w:tcPr>
            <w:tcW w:type="dxa" w:w="2280"/>
            <w:shd w:val="clear" w:color="auto" w:fill="FFFFFF"/>
          </w:tcPr>
          <w:p>
            <w:r>
              <w:rPr>
                <w:rFonts w:ascii="Calibri" w:hAnsi="Calibri"/>
                <w:b w:val="0"/>
                <w:color w:val="35353A"/>
                <w:sz w:val="18"/>
              </w:rPr>
              <w:t>SAP Data Services 4.3+</w:t>
            </w:r>
          </w:p>
        </w:tc>
      </w:tr>
      <w:tr>
        <w:tc>
          <w:tcPr>
            <w:tcW w:type="dxa" w:w="2280"/>
            <w:shd w:val="clear" w:color="auto" w:fill="F5F5F5"/>
          </w:tcPr>
          <w:p>
            <w:r>
              <w:rPr>
                <w:rFonts w:ascii="Calibri" w:hAnsi="Calibri"/>
                <w:b/>
                <w:color w:val="00417A"/>
                <w:sz w:val="18"/>
              </w:rPr>
              <w:t>SAP Analytics Cloud – Import Connection</w:t>
            </w:r>
          </w:p>
        </w:tc>
        <w:tc>
          <w:tcPr>
            <w:tcW w:type="dxa" w:w="2280"/>
            <w:shd w:val="clear" w:color="auto" w:fill="F5F5F5"/>
          </w:tcPr>
          <w:p>
            <w:r>
              <w:rPr>
                <w:rFonts w:ascii="Calibri" w:hAnsi="Calibri"/>
                <w:b w:val="0"/>
                <w:color w:val="35353A"/>
                <w:sz w:val="18"/>
              </w:rPr>
              <w:t>Conector de importación de datos para la carga batch de datos históricos y maestros. Soporta archivos CSV, conexiones OData y conectores SAP BW.</w:t>
            </w:r>
          </w:p>
        </w:tc>
        <w:tc>
          <w:tcPr>
            <w:tcW w:type="dxa" w:w="2280"/>
            <w:shd w:val="clear" w:color="auto" w:fill="F5F5F5"/>
          </w:tcPr>
          <w:p>
            <w:r>
              <w:rPr>
                <w:rFonts w:ascii="Calibri" w:hAnsi="Calibri"/>
                <w:b w:val="0"/>
                <w:color w:val="35353A"/>
                <w:sz w:val="18"/>
              </w:rPr>
              <w:t>SAC (cloud)</w:t>
            </w:r>
          </w:p>
        </w:tc>
        <w:tc>
          <w:tcPr>
            <w:tcW w:type="dxa" w:w="2280"/>
            <w:shd w:val="clear" w:color="auto" w:fill="F5F5F5"/>
          </w:tcPr>
          <w:p>
            <w:r>
              <w:rPr>
                <w:rFonts w:ascii="Calibri" w:hAnsi="Calibri"/>
                <w:b w:val="0"/>
                <w:color w:val="35353A"/>
                <w:sz w:val="18"/>
              </w:rPr>
              <w:t>Estándar SAC</w:t>
            </w:r>
          </w:p>
        </w:tc>
      </w:tr>
      <w:tr>
        <w:tc>
          <w:tcPr>
            <w:tcW w:type="dxa" w:w="2280"/>
            <w:shd w:val="clear" w:color="auto" w:fill="FFFFFF"/>
          </w:tcPr>
          <w:p>
            <w:r>
              <w:rPr>
                <w:rFonts w:ascii="Calibri" w:hAnsi="Calibri"/>
                <w:b/>
                <w:color w:val="00417A"/>
                <w:sz w:val="18"/>
              </w:rPr>
              <w:t>SAP Analytics Cloud – Live Connection</w:t>
            </w:r>
          </w:p>
        </w:tc>
        <w:tc>
          <w:tcPr>
            <w:tcW w:type="dxa" w:w="2280"/>
            <w:shd w:val="clear" w:color="auto" w:fill="FFFFFF"/>
          </w:tcPr>
          <w:p>
            <w:r>
              <w:rPr>
                <w:rFonts w:ascii="Calibri" w:hAnsi="Calibri"/>
                <w:b w:val="0"/>
                <w:color w:val="35353A"/>
                <w:sz w:val="18"/>
              </w:rPr>
              <w:t>Conexión en tiempo real hacia SAP BW/4HANA o SAP HANA para análisis ad-hoc sin replicación de datos.</w:t>
            </w:r>
          </w:p>
        </w:tc>
        <w:tc>
          <w:tcPr>
            <w:tcW w:type="dxa" w:w="2280"/>
            <w:shd w:val="clear" w:color="auto" w:fill="FFFFFF"/>
          </w:tcPr>
          <w:p>
            <w:r>
              <w:rPr>
                <w:rFonts w:ascii="Calibri" w:hAnsi="Calibri"/>
                <w:b w:val="0"/>
                <w:color w:val="35353A"/>
                <w:sz w:val="18"/>
              </w:rPr>
              <w:t>SAC ↔ BW/HANA</w:t>
            </w:r>
          </w:p>
        </w:tc>
        <w:tc>
          <w:tcPr>
            <w:tcW w:type="dxa" w:w="2280"/>
            <w:shd w:val="clear" w:color="auto" w:fill="FFFFFF"/>
          </w:tcPr>
          <w:p>
            <w:r>
              <w:rPr>
                <w:rFonts w:ascii="Calibri" w:hAnsi="Calibri"/>
                <w:b w:val="0"/>
                <w:color w:val="35353A"/>
                <w:sz w:val="18"/>
              </w:rPr>
              <w:t>Requiere SAP Connector</w:t>
            </w:r>
          </w:p>
        </w:tc>
      </w:tr>
      <w:tr>
        <w:tc>
          <w:tcPr>
            <w:tcW w:type="dxa" w:w="2280"/>
            <w:shd w:val="clear" w:color="auto" w:fill="F5F5F5"/>
          </w:tcPr>
          <w:p>
            <w:r>
              <w:rPr>
                <w:rFonts w:ascii="Calibri" w:hAnsi="Calibri"/>
                <w:b/>
                <w:color w:val="00417A"/>
                <w:sz w:val="18"/>
              </w:rPr>
              <w:t>SAP Identity Authentication Service (IAS)</w:t>
            </w:r>
          </w:p>
        </w:tc>
        <w:tc>
          <w:tcPr>
            <w:tcW w:type="dxa" w:w="2280"/>
            <w:shd w:val="clear" w:color="auto" w:fill="F5F5F5"/>
          </w:tcPr>
          <w:p>
            <w:r>
              <w:rPr>
                <w:rFonts w:ascii="Calibri" w:hAnsi="Calibri"/>
                <w:b w:val="0"/>
                <w:color w:val="35353A"/>
                <w:sz w:val="18"/>
              </w:rPr>
              <w:t>Servicio de autenticación y SSO para el acceso de usuarios de Fanalca a SAP Analytics Cloud.</w:t>
            </w:r>
          </w:p>
        </w:tc>
        <w:tc>
          <w:tcPr>
            <w:tcW w:type="dxa" w:w="2280"/>
            <w:shd w:val="clear" w:color="auto" w:fill="F5F5F5"/>
          </w:tcPr>
          <w:p>
            <w:r>
              <w:rPr>
                <w:rFonts w:ascii="Calibri" w:hAnsi="Calibri"/>
                <w:b w:val="0"/>
                <w:color w:val="35353A"/>
                <w:sz w:val="18"/>
              </w:rPr>
              <w:t>SAP BTP</w:t>
            </w:r>
          </w:p>
        </w:tc>
        <w:tc>
          <w:tcPr>
            <w:tcW w:type="dxa" w:w="2280"/>
            <w:shd w:val="clear" w:color="auto" w:fill="F5F5F5"/>
          </w:tcPr>
          <w:p>
            <w:r>
              <w:rPr>
                <w:rFonts w:ascii="Calibri" w:hAnsi="Calibri"/>
                <w:b w:val="0"/>
                <w:color w:val="35353A"/>
                <w:sz w:val="18"/>
              </w:rPr>
              <w:t>SAP IAS Cloud</w:t>
            </w:r>
          </w:p>
        </w:tc>
      </w:tr>
      <w:tr>
        <w:tc>
          <w:tcPr>
            <w:tcW w:type="dxa" w:w="2280"/>
            <w:shd w:val="clear" w:color="auto" w:fill="FFFFFF"/>
          </w:tcPr>
          <w:p>
            <w:r>
              <w:rPr>
                <w:rFonts w:ascii="Calibri" w:hAnsi="Calibri"/>
                <w:b/>
                <w:color w:val="00417A"/>
                <w:sz w:val="18"/>
              </w:rPr>
              <w:t>SAP Analytics Cloud – Transport</w:t>
            </w:r>
          </w:p>
        </w:tc>
        <w:tc>
          <w:tcPr>
            <w:tcW w:type="dxa" w:w="2280"/>
            <w:shd w:val="clear" w:color="auto" w:fill="FFFFFF"/>
          </w:tcPr>
          <w:p>
            <w:r>
              <w:rPr>
                <w:rFonts w:ascii="Calibri" w:hAnsi="Calibri"/>
                <w:b w:val="0"/>
                <w:color w:val="35353A"/>
                <w:sz w:val="18"/>
              </w:rPr>
              <w:t>Gestión del ciclo de vida de contenido SAC. Transporte de modelos, stories y configuraciones entre ambientes DEV → QA → PRD.</w:t>
            </w:r>
          </w:p>
        </w:tc>
        <w:tc>
          <w:tcPr>
            <w:tcW w:type="dxa" w:w="2280"/>
            <w:shd w:val="clear" w:color="auto" w:fill="FFFFFF"/>
          </w:tcPr>
          <w:p>
            <w:r>
              <w:rPr>
                <w:rFonts w:ascii="Calibri" w:hAnsi="Calibri"/>
                <w:b w:val="0"/>
                <w:color w:val="35353A"/>
                <w:sz w:val="18"/>
              </w:rPr>
              <w:t>SAC</w:t>
            </w:r>
          </w:p>
        </w:tc>
        <w:tc>
          <w:tcPr>
            <w:tcW w:type="dxa" w:w="2280"/>
            <w:shd w:val="clear" w:color="auto" w:fill="FFFFFF"/>
          </w:tcPr>
          <w:p>
            <w:r>
              <w:rPr>
                <w:rFonts w:ascii="Calibri" w:hAnsi="Calibri"/>
                <w:b w:val="0"/>
                <w:color w:val="35353A"/>
                <w:sz w:val="18"/>
              </w:rPr>
              <w:t>SAC Lifecycle Management</w:t>
            </w:r>
          </w:p>
        </w:tc>
      </w:tr>
    </w:tbl>
    <w:p/>
    <w:tbl>
      <w:tblPr>
        <w:tblW w:type="auto" w:w="0"/>
        <w:jc w:val="center"/>
        <w:tblLook w:firstColumn="1" w:firstRow="1" w:lastColumn="0" w:lastRow="0" w:noHBand="0" w:noVBand="1" w:val="04A0"/>
      </w:tblPr>
      <w:tblGrid>
        <w:gridCol w:w="9122"/>
      </w:tblGrid>
      <w:tr>
        <w:tc>
          <w:tcPr>
            <w:tcW w:type="dxa" w:w="9122"/>
            <w:shd w:val="clear" w:color="auto" w:fill="FFF8E6"/>
            <w:tcBorders>
              <w:top w:val="single" w:sz="12" w:color="F0AB00"/>
              <w:left w:val="single" w:sz="12" w:color="F0AB00"/>
              <w:bottom w:val="single" w:sz="12" w:color="F0AB00"/>
              <w:right w:val="single" w:sz="12" w:color="F0AB00"/>
            </w:tcBorders>
          </w:tcPr>
          <w:p>
            <w:r>
              <w:rPr>
                <w:rFonts w:ascii="Calibri" w:hAnsi="Calibri"/>
                <w:b/>
                <w:color w:val="F0AB00"/>
                <w:sz w:val="20"/>
              </w:rPr>
              <w:t>⚠  Nota sobre videos del proyecto:</w:t>
              <w:br/>
            </w:r>
            <w:r>
              <w:rPr>
                <w:rFonts w:ascii="Calibri" w:hAnsi="Calibri"/>
                <w:color w:val="35353A"/>
                <w:sz w:val="19"/>
              </w:rPr>
              <w:t>La carpeta del proyecto contiene los siguientes videos de sesiones de trabajo:</w:t>
              <w:br/>
            </w:r>
            <w:r>
              <w:rPr>
                <w:rFonts w:ascii="Calibri" w:hAnsi="Calibri"/>
                <w:color w:val="35353A"/>
                <w:sz w:val="19"/>
              </w:rPr>
              <w:t xml:space="preserve">  • Fanalca Metalmecanica.mp4 – Configuración de modelos unidad Metalmecánica</w:t>
              <w:br/>
            </w:r>
            <w:r>
              <w:rPr>
                <w:rFonts w:ascii="Calibri" w:hAnsi="Calibri"/>
                <w:color w:val="35353A"/>
                <w:sz w:val="19"/>
              </w:rPr>
              <w:t xml:space="preserve">  • Fanalca Supermotos.mp4 – Configuración de modelos unidad Honda Supermotos</w:t>
              <w:br/>
            </w:r>
            <w:r>
              <w:rPr>
                <w:rFonts w:ascii="Calibri" w:hAnsi="Calibri"/>
                <w:color w:val="35353A"/>
                <w:sz w:val="19"/>
              </w:rPr>
              <w:t xml:space="preserve">  • Fanlaca Autos Honda.mp4 – Configuración de modelos unidad Autos Honda</w:t>
              <w:br/>
            </w:r>
            <w:r>
              <w:rPr>
                <w:rFonts w:ascii="Calibri" w:hAnsi="Calibri"/>
                <w:color w:val="35353A"/>
                <w:sz w:val="19"/>
              </w:rPr>
              <w:t xml:space="preserve">  • Fanalca archivos de validacion.mp4 – Proceso de validación y conciliación</w:t>
              <w:br/>
            </w:r>
            <w:r>
              <w:rPr>
                <w:rFonts w:ascii="Calibri" w:hAnsi="Calibri"/>
                <w:color w:val="35353A"/>
                <w:sz w:val="19"/>
              </w:rPr>
              <w:br/>
            </w:r>
            <w:r>
              <w:rPr>
                <w:rFonts w:ascii="Calibri" w:hAnsi="Calibri"/>
                <w:color w:val="35353A"/>
                <w:sz w:val="19"/>
              </w:rPr>
              <w:t>El contenido de este documento se elaboró a partir de las capturas de pantalla de los modelos SAC (imágenes PNG) y el conocimiento del equipo de implementación. Los videos contienen grabaciones de las sesiones de configuración en vivo.</w:t>
              <w:br/>
            </w:r>
          </w:p>
        </w:tc>
      </w:tr>
    </w:tbl>
    <w:p/>
    <w:sectPr w:rsidR="00FC693F" w:rsidRPr="0006063C" w:rsidSect="00034616">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Fanalca S.A.  |  SAP Analytics Cloud – Documento de Diseño de Solución  |  Versión 1.0  |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535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