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1B3A6B"/>
          </w:tcPr>
          <w:p>
            <w:pPr>
              <w:spacing w:before="600" w:after="600"/>
              <w:jc w:val="center"/>
            </w:pPr>
            <w:r>
              <w:rPr>
                <w:rFonts w:ascii="Calibri" w:hAnsi="Calibri"/>
                <w:b/>
                <w:color w:val="FFFFFF"/>
                <w:sz w:val="56"/>
              </w:rPr>
              <w:t>SAP ANALYTICS CLOUD</w:t>
            </w:r>
          </w:p>
        </w:tc>
      </w:tr>
    </w:tbl>
    <w:p/>
    <w:p>
      <w:pPr>
        <w:jc w:val="center"/>
      </w:pPr>
      <w:r>
        <w:rPr>
          <w:rFonts w:ascii="Calibri" w:hAnsi="Calibri"/>
          <w:b/>
          <w:color w:val="1B3A6B"/>
          <w:sz w:val="40"/>
        </w:rPr>
        <w:t>Evaluación de Capacidades Funcionales</w:t>
      </w:r>
    </w:p>
    <w:p>
      <w:pPr>
        <w:jc w:val="center"/>
      </w:pPr>
      <w:r>
        <w:rPr>
          <w:rFonts w:ascii="Calibri" w:hAnsi="Calibri"/>
          <w:color w:val="0070B8"/>
          <w:sz w:val="28"/>
        </w:rPr>
        <w:t>Respuestas y Sustentación Técnica — Preguntas 308–318</w:t>
      </w:r>
    </w:p>
    <w:p>
      <w:pPr>
        <w:pBdr>
          <w:bottom w:val="single" w:sz="6" w:space="1" w:color="0070B8"/>
        </w:pBdr>
        <w:spacing w:before="80" w:after="80"/>
      </w:pPr>
    </w:p>
    <w:p/>
    <w:p/>
    <w:p/>
    <w:p>
      <w:pPr>
        <w:jc w:val="center"/>
      </w:pPr>
      <w:r>
        <w:rPr>
          <w:rFonts w:ascii="Calibri" w:hAnsi="Calibri"/>
          <w:b/>
          <w:color w:val="555555"/>
          <w:sz w:val="22"/>
        </w:rPr>
        <w:t>DOCUMENTO DE REFERENCIA TÉCNICA</w:t>
      </w:r>
    </w:p>
    <w:p>
      <w:pPr>
        <w:jc w:val="center"/>
      </w:pPr>
      <w:r>
        <w:rPr>
          <w:rFonts w:ascii="Calibri" w:hAnsi="Calibri"/>
          <w:color w:val="555555"/>
          <w:sz w:val="22"/>
        </w:rPr>
        <w:t>Fecha: 23 de February de 2026</w:t>
      </w:r>
    </w:p>
    <w:p>
      <w:pPr>
        <w:jc w:val="center"/>
      </w:pPr>
      <w:r>
        <w:rPr>
          <w:rFonts w:ascii="Calibri" w:hAnsi="Calibri"/>
          <w:color w:val="555555"/>
          <w:sz w:val="22"/>
        </w:rPr>
        <w:t>Versión: 1.0</w:t>
      </w:r>
    </w:p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D6E4F0"/>
          </w:tcPr>
          <w:p>
            <w:pPr>
              <w:spacing w:before="160" w:after="160"/>
              <w:jc w:val="center"/>
            </w:pPr>
            <w:r>
              <w:rPr>
                <w:rFonts w:ascii="Calibri" w:hAnsi="Calibri"/>
                <w:b/>
                <w:color w:val="1B3A6B"/>
                <w:sz w:val="20"/>
              </w:rPr>
              <w:t>CONFIDENCIAL — Solo para uso interno</w:t>
            </w:r>
          </w:p>
        </w:tc>
      </w:tr>
    </w:tbl>
    <w:p>
      <w:r>
        <w:br w:type="page"/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1B3A6B"/>
          <w:sz w:val="32"/>
        </w:rPr>
        <w:t>RESUMEN EJECUTIVO</w:t>
      </w:r>
    </w:p>
    <w:p>
      <w:pPr>
        <w:pBdr>
          <w:bottom w:val="single" w:sz="6" w:space="1" w:color="0070B8"/>
        </w:pBdr>
        <w:spacing w:before="80" w:after="80"/>
      </w:pPr>
    </w:p>
    <w:p>
      <w:pPr>
        <w:spacing w:before="0" w:after="16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El presente documento consolida las respuestas técnicas a las preguntas de evaluación funcional de SAP Analytics Cloud (SAC) en las categorías de Planificación, Presupuesto, Reportería y Simulación. Cada respuesta incluye sustentación detallada, capacidades nativas de la plataforma y, donde aplica, los requisitos de configuración o personalización.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#</w:t>
            </w:r>
          </w:p>
        </w:tc>
        <w:tc>
          <w:tcPr>
            <w:tcW w:type="dxa" w:w="3135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Capacidad Evaluada</w:t>
            </w:r>
          </w:p>
        </w:tc>
        <w:tc>
          <w:tcPr>
            <w:tcW w:type="dxa" w:w="3135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Respuesta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308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Proyecciones con parámetros y comparación de versiones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b/>
                <w:color w:val="107C10"/>
                <w:sz w:val="20"/>
              </w:rPr>
              <w:t>SI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309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Información financiera en línea para toma de decisiones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07C10"/>
                <w:sz w:val="20"/>
              </w:rPr>
              <w:t>SI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310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Validación de disponibilidad presupuestal al registrar gastos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b/>
                <w:color w:val="E65C00"/>
                <w:sz w:val="20"/>
              </w:rPr>
              <w:t>PARCIALMENTE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311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Alertas a usuarios por disponibilidad / no ejecución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07C10"/>
                <w:sz w:val="20"/>
              </w:rPr>
              <w:t>SI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312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Reportes parciales y totales de estados financieros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b/>
                <w:color w:val="107C10"/>
                <w:sz w:val="20"/>
              </w:rPr>
              <w:t>SI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313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Distribución de presupuesto por % u otros drivers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07C10"/>
                <w:sz w:val="20"/>
              </w:rPr>
              <w:t>SI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314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Seguimiento en línea al ejercicio presupuestal (ERP)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b/>
                <w:color w:val="107C10"/>
                <w:sz w:val="20"/>
              </w:rPr>
              <w:t>SI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315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Seguimiento en línea a la ejecución presupuestal del ERP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107C10"/>
                <w:sz w:val="20"/>
              </w:rPr>
              <w:t>SI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316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Análisis de cifras atípicas en planificación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b/>
                <w:color w:val="107C10"/>
                <w:sz w:val="20"/>
              </w:rPr>
              <w:t>SI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318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Métodos de simulación (Monte Carlo y otros)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E65C00"/>
                <w:sz w:val="20"/>
              </w:rPr>
              <w:t>PARCIALMENTE</w:t>
            </w:r>
          </w:p>
        </w:tc>
      </w:tr>
    </w:tbl>
    <w:p/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FFFFFF"/>
          <w:sz w:val="26"/>
          <w:shd w:val="clear" w:color="auto" w:fill="1B3A6B"/>
        </w:rPr>
        <w:t xml:space="preserve"> 308 </w:t>
      </w:r>
      <w:r>
        <w:rPr>
          <w:rFonts w:ascii="Calibri" w:hAnsi="Calibri"/>
          <w:b/>
          <w:color w:val="1B3A6B"/>
          <w:sz w:val="26"/>
        </w:rPr>
        <w:t xml:space="preserve">  Proyecciones por Parámetros y Comparación de Versiones</w:t>
      </w:r>
    </w:p>
    <w:p>
      <w:pPr>
        <w:spacing w:before="80" w:after="160"/>
      </w:pPr>
      <w:r>
        <w:rPr>
          <w:rFonts w:ascii="Calibri" w:hAnsi="Calibri"/>
          <w:b/>
          <w:color w:val="FFFFFF"/>
          <w:sz w:val="22"/>
          <w:shd w:val="clear" w:color="auto" w:fill="107C10"/>
        </w:rPr>
        <w:t xml:space="preserve">  RESPUESTA: SI  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1B3A6B"/>
          <w:sz w:val="22"/>
        </w:rPr>
        <w:t>Sustentación: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SAC permite configurar parámetros macroeconómicos y de negocio como base para la generación automática de proyecciones financieras, con soporte para múltiples versiones y escenarios comparativos.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1B3A6B"/>
          <w:sz w:val="21"/>
        </w:rPr>
        <w:t>Parámetros configurables: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Tasa de inflación (local e internacional)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Tasa de cambio / TRM (con actualización automática desde fuentes de mercado)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Tasa de crecimiento por línea de negocio o producto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Índice de precios al consumidor (IPC) y precios al productor (IPP)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Porcentajes de variación salarial, SMMLV y costos laborales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Tasas de interés de referencia (DTF, IBR, LIBOR/SOFR)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1B3A6B"/>
          <w:sz w:val="21"/>
        </w:rPr>
        <w:t>Tipos de proyección disponibles: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4703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Manual / Top-Down</w:t>
            </w:r>
          </w:p>
        </w:tc>
        <w:tc>
          <w:tcPr>
            <w:tcW w:type="dxa" w:w="4703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Ingreso directo de valores por período con distribución hacia abajo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Driver-Based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Proyección automática basada en factores de negocio configurables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Estadístico / IA</w:t>
            </w:r>
          </w:p>
        </w:tc>
        <w:tc>
          <w:tcPr>
            <w:tcW w:type="dxa" w:w="4703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Modelos de regresión, suavización exponencial y machine learning (Smart Predict)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Escenarios Múltiples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Versiones optimista, realista y pesimista en paralelo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Rolling Forecast</w:t>
            </w:r>
          </w:p>
        </w:tc>
        <w:tc>
          <w:tcPr>
            <w:tcW w:type="dxa" w:w="4703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Proyección continua que reemplaza períodos ejecutados con datos reales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Copying / Seeding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Copia de versiones base con ajuste porcentual o absoluto</w:t>
            </w:r>
          </w:p>
        </w:tc>
      </w:tr>
    </w:tbl>
    <w:p/>
    <w:p>
      <w:pPr>
        <w:spacing w:before="0" w:after="120"/>
        <w:jc w:val="left"/>
      </w:pPr>
      <w:r>
        <w:rPr>
          <w:rFonts w:ascii="Calibri" w:hAnsi="Calibri"/>
          <w:b/>
          <w:i w:val="0"/>
          <w:color w:val="1B3A6B"/>
          <w:sz w:val="21"/>
        </w:rPr>
        <w:t>Comparación de versiones: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Comparación simultánea de hasta N versiones (Real vs. Presupuesto vs. Forecast)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Análisis de varianza automático con drill-down a nivel de cuenta / centro de costo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Visualización en tablas side-by-side, gráficos de cascada y semáforos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Exportación a Excel y PDF con formato corporativo</w:t>
      </w:r>
    </w:p>
    <w:p>
      <w:pPr>
        <w:pBdr>
          <w:bottom w:val="single" w:sz="6" w:space="1" w:color="0070B8"/>
        </w:pBdr>
        <w:spacing w:before="80" w:after="80"/>
      </w:pPr>
    </w:p>
    <w:p>
      <w:pPr>
        <w:spacing w:before="280" w:after="80"/>
      </w:pPr>
      <w:r>
        <w:rPr>
          <w:rFonts w:ascii="Calibri" w:hAnsi="Calibri"/>
          <w:b/>
          <w:color w:val="FFFFFF"/>
          <w:sz w:val="26"/>
          <w:shd w:val="clear" w:color="auto" w:fill="1B3A6B"/>
        </w:rPr>
        <w:t xml:space="preserve"> 309 </w:t>
      </w:r>
      <w:r>
        <w:rPr>
          <w:rFonts w:ascii="Calibri" w:hAnsi="Calibri"/>
          <w:b/>
          <w:color w:val="1B3A6B"/>
          <w:sz w:val="26"/>
        </w:rPr>
        <w:t xml:space="preserve">  Información Financiera en Línea para Toma de Decisiones</w:t>
      </w:r>
    </w:p>
    <w:p>
      <w:pPr>
        <w:spacing w:before="80" w:after="160"/>
      </w:pPr>
      <w:r>
        <w:rPr>
          <w:rFonts w:ascii="Calibri" w:hAnsi="Calibri"/>
          <w:b/>
          <w:color w:val="FFFFFF"/>
          <w:sz w:val="22"/>
          <w:shd w:val="clear" w:color="auto" w:fill="107C10"/>
        </w:rPr>
        <w:t xml:space="preserve">  RESPUESTA: SI  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1B3A6B"/>
          <w:sz w:val="22"/>
        </w:rPr>
        <w:t>Sustentación: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SAC centraliza la información financiera de toda la entidad en una plataforma cloud con acceso en tiempo real, eliminando silos de información y habilitando la toma de decisiones oportuna y fundamentada.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Capacidad</w:t>
            </w:r>
          </w:p>
        </w:tc>
        <w:tc>
          <w:tcPr>
            <w:tcW w:type="dxa" w:w="4703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Datos en tiempo real</w:t>
            </w:r>
          </w:p>
        </w:tc>
        <w:tc>
          <w:tcPr>
            <w:tcW w:type="dxa" w:w="4703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Conexión Live a SAP S/4HANA sin réplica — latencia &lt; 1 seg.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Consolidación multientidad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Elimina eliminaciones intercompany y agrega en moneda de consolidación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Acceso multidispositivo</w:t>
            </w:r>
          </w:p>
        </w:tc>
        <w:tc>
          <w:tcPr>
            <w:tcW w:type="dxa" w:w="4703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Web, tablet y móvil con experiencia responsiva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Multiusuario simultáneo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Colaboración concurrente con bloqueo optimista de registros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Drill-through al ERP</w:t>
            </w:r>
          </w:p>
        </w:tc>
        <w:tc>
          <w:tcPr>
            <w:tcW w:type="dxa" w:w="4703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Navegación desde KPI hasta el documento contable origen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Dashboards ejecutivos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Stories interactivas con KPIs, semáforos y narrativa automática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Suscripciones automáticas</w:t>
            </w:r>
          </w:p>
        </w:tc>
        <w:tc>
          <w:tcPr>
            <w:tcW w:type="dxa" w:w="4703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Envío programado de reportes por correo en PDF / Excel</w:t>
            </w:r>
          </w:p>
        </w:tc>
      </w:tr>
    </w:tbl>
    <w:p/>
    <w:p>
      <w:pPr>
        <w:pBdr>
          <w:bottom w:val="single" w:sz="6" w:space="1" w:color="0070B8"/>
        </w:pBdr>
        <w:spacing w:before="80" w:after="80"/>
      </w:pPr>
    </w:p>
    <w:p>
      <w:pPr>
        <w:spacing w:before="280" w:after="80"/>
      </w:pPr>
      <w:r>
        <w:rPr>
          <w:rFonts w:ascii="Calibri" w:hAnsi="Calibri"/>
          <w:b/>
          <w:color w:val="FFFFFF"/>
          <w:sz w:val="26"/>
          <w:shd w:val="clear" w:color="auto" w:fill="1B3A6B"/>
        </w:rPr>
        <w:t xml:space="preserve"> 310 </w:t>
      </w:r>
      <w:r>
        <w:rPr>
          <w:rFonts w:ascii="Calibri" w:hAnsi="Calibri"/>
          <w:b/>
          <w:color w:val="1B3A6B"/>
          <w:sz w:val="26"/>
        </w:rPr>
        <w:t xml:space="preserve">  Validación de Disponibilidad Presupuestal al Registrar Gastos</w:t>
      </w:r>
    </w:p>
    <w:p>
      <w:pPr>
        <w:spacing w:before="80" w:after="160"/>
      </w:pPr>
      <w:r>
        <w:rPr>
          <w:rFonts w:ascii="Calibri" w:hAnsi="Calibri"/>
          <w:b/>
          <w:color w:val="FFFFFF"/>
          <w:sz w:val="22"/>
          <w:shd w:val="clear" w:color="auto" w:fill="E65C00"/>
        </w:rPr>
        <w:t xml:space="preserve">  RESPUESTA: PARCIALMENTE  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1B3A6B"/>
          <w:sz w:val="22"/>
        </w:rPr>
        <w:t>Sustentación: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La validación en tiempo real con bloqueo de transacciones por insuficiencia presupuestal es una función nativa de SAP S/4HANA (módulo Funds Management / CO-PA). SAC complementa este control con visibilidad analítica, alertas preventivas y simulación what-if.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Capa</w:t>
            </w:r>
          </w:p>
        </w:tc>
        <w:tc>
          <w:tcPr>
            <w:tcW w:type="dxa" w:w="3135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Capacidad</w:t>
            </w:r>
          </w:p>
        </w:tc>
        <w:tc>
          <w:tcPr>
            <w:tcW w:type="dxa" w:w="3135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Herramienta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Control transaccional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Bloqueo automático de OC/CF por insuficiencia presupuestal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SAP S/4HANA (FM/CO)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Control transaccional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Tolerancias configurables: advertencia / bloqueo / error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SAP S/4HANA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Visibilidad analítica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Dashboard de disponibilidad presupuestal en tiempo real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SAC Live Connection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Alertas preventivas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Notificaciones al 70%, 85% y 95% de consumo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SAC Smart Alerts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Simulación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What-if: impacto de un gasto sobre el saldo disponible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SAC Planning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Reportería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Reporte de compromisos vs. apropiación vs. giro en línea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SAC Stories</w:t>
            </w:r>
          </w:p>
        </w:tc>
      </w:tr>
    </w:tbl>
    <w:p/>
    <w:p>
      <w:pPr>
        <w:pBdr>
          <w:bottom w:val="single" w:sz="6" w:space="1" w:color="0070B8"/>
        </w:pBdr>
        <w:spacing w:before="80" w:after="80"/>
      </w:pPr>
    </w:p>
    <w:p>
      <w:pPr>
        <w:spacing w:before="280" w:after="80"/>
      </w:pPr>
      <w:r>
        <w:rPr>
          <w:rFonts w:ascii="Calibri" w:hAnsi="Calibri"/>
          <w:b/>
          <w:color w:val="FFFFFF"/>
          <w:sz w:val="26"/>
          <w:shd w:val="clear" w:color="auto" w:fill="1B3A6B"/>
        </w:rPr>
        <w:t xml:space="preserve"> 311 </w:t>
      </w:r>
      <w:r>
        <w:rPr>
          <w:rFonts w:ascii="Calibri" w:hAnsi="Calibri"/>
          <w:b/>
          <w:color w:val="1B3A6B"/>
          <w:sz w:val="26"/>
        </w:rPr>
        <w:t xml:space="preserve">  Alertas a Usuarios por Disponibilidad o No Ejecución</w:t>
      </w:r>
    </w:p>
    <w:p>
      <w:pPr>
        <w:spacing w:before="80" w:after="160"/>
      </w:pPr>
      <w:r>
        <w:rPr>
          <w:rFonts w:ascii="Calibri" w:hAnsi="Calibri"/>
          <w:b/>
          <w:color w:val="FFFFFF"/>
          <w:sz w:val="22"/>
          <w:shd w:val="clear" w:color="auto" w:fill="107C10"/>
        </w:rPr>
        <w:t xml:space="preserve">  RESPUESTA: SI  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1B3A6B"/>
          <w:sz w:val="22"/>
        </w:rPr>
        <w:t>Sustentación: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SAC dispone de un motor de alertas nativo (Smart Alerts) que permite configurar umbrales, destinatarios específicos y canales de notificación para monitorear tanto la disponibilidad crítica como la no ejecución del presupuesto.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1B3A6B"/>
          <w:sz w:val="21"/>
        </w:rPr>
        <w:t>Alertas de disponibilidad crítica: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Umbral configurable (ej. saldo disponible &lt; 10% o &lt; $X COP)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Dirigidas a responsable del centro de costo / proyecto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Frecuencia: en tiempo real, diaria o semanal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1B3A6B"/>
          <w:sz w:val="21"/>
        </w:rPr>
        <w:t>Alertas de no ejecución: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Ejecución acumulada &lt; % esperado para la fecha (ej. &lt; 40% en junio)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Sin movimiento en N días hábiles consecutivos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Envío automático al responsable y al nivel superior (escalamiento)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1B3A6B"/>
          <w:sz w:val="21"/>
        </w:rPr>
        <w:t>Canales de notificación: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Canal</w:t>
            </w:r>
          </w:p>
        </w:tc>
        <w:tc>
          <w:tcPr>
            <w:tcW w:type="dxa" w:w="4703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Disponibilidad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Notificación in-app (SAC)</w:t>
            </w:r>
          </w:p>
        </w:tc>
        <w:tc>
          <w:tcPr>
            <w:tcW w:type="dxa" w:w="4703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Nativo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Correo electrónico (HTML)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Nativo</w:t>
            </w:r>
          </w:p>
        </w:tc>
      </w:tr>
      <w:tr>
        <w:tc>
          <w:tcPr>
            <w:tcW w:type="dxa" w:w="4703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SAP Business Technology Platform (BTP) — Event Mesh</w:t>
            </w:r>
          </w:p>
        </w:tc>
        <w:tc>
          <w:tcPr>
            <w:tcW w:type="dxa" w:w="4703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 configuración</w:t>
            </w:r>
          </w:p>
        </w:tc>
      </w:tr>
      <w:tr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Microsoft Teams / Slack</w:t>
            </w:r>
          </w:p>
        </w:tc>
        <w:tc>
          <w:tcPr>
            <w:tcW w:type="dxa" w:w="4703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Vía BTP Integration Suite</w:t>
            </w:r>
          </w:p>
        </w:tc>
      </w:tr>
    </w:tbl>
    <w:p/>
    <w:p>
      <w:pPr>
        <w:pBdr>
          <w:bottom w:val="single" w:sz="6" w:space="1" w:color="0070B8"/>
        </w:pBdr>
        <w:spacing w:before="80" w:after="80"/>
      </w:pP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FFFFFF"/>
          <w:sz w:val="26"/>
          <w:shd w:val="clear" w:color="auto" w:fill="1B3A6B"/>
        </w:rPr>
        <w:t xml:space="preserve"> 312 </w:t>
      </w:r>
      <w:r>
        <w:rPr>
          <w:rFonts w:ascii="Calibri" w:hAnsi="Calibri"/>
          <w:b/>
          <w:color w:val="1B3A6B"/>
          <w:sz w:val="26"/>
        </w:rPr>
        <w:t xml:space="preserve">  Reportes Parciales y Totales de Estados Financieros</w:t>
      </w:r>
    </w:p>
    <w:p>
      <w:pPr>
        <w:spacing w:before="80" w:after="160"/>
      </w:pPr>
      <w:r>
        <w:rPr>
          <w:rFonts w:ascii="Calibri" w:hAnsi="Calibri"/>
          <w:b/>
          <w:color w:val="FFFFFF"/>
          <w:sz w:val="22"/>
          <w:shd w:val="clear" w:color="auto" w:fill="107C10"/>
        </w:rPr>
        <w:t xml:space="preserve">  RESPUESTA: SI  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1B3A6B"/>
          <w:sz w:val="22"/>
        </w:rPr>
        <w:t>Sustentación: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SAC genera el conjunto completo de estados financieros con cortes parciales (diario, semanal, mensual, trimestral, anual) y totales consolidados, con capacidad de drill-down hasta el documento contable.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Estado Financiero</w:t>
            </w:r>
          </w:p>
        </w:tc>
        <w:tc>
          <w:tcPr>
            <w:tcW w:type="dxa" w:w="3135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Cortes Disponibles</w:t>
            </w:r>
          </w:p>
        </w:tc>
        <w:tc>
          <w:tcPr>
            <w:tcW w:type="dxa" w:w="3135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Drill-Down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Balance General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Diario / Mensual / Anual / Ad-hoc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Hasta cuenta / doc. SAP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Estado de Resultados (P&amp;G)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Diario / Mensual / Acumulado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Hasta centro de costo / orden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Flujo de Caja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Mensual / Trimestral / Anual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Hasta documento de pago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Estado de Cambios en Patrimonio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Trimestral / Anual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Hasta movimiento contable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Ejecución Presupuestal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Diario / Mensual / Acumulado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Hasta partida presupuestal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Cuentas por Cobrar / Pagar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Diario / Semanal / Mensual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Hasta factura / cliente</w:t>
            </w:r>
          </w:p>
        </w:tc>
      </w:tr>
    </w:tbl>
    <w:p/>
    <w:p>
      <w:pPr>
        <w:spacing w:before="0" w:after="120"/>
        <w:jc w:val="left"/>
      </w:pPr>
      <w:r>
        <w:rPr>
          <w:rFonts w:ascii="Calibri" w:hAnsi="Calibri"/>
          <w:b/>
          <w:i w:val="0"/>
          <w:color w:val="1B3A6B"/>
          <w:sz w:val="21"/>
        </w:rPr>
        <w:t>Características adicionales: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Comparación período actual vs. período anterior vs. presupuesto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Visualización en moneda local y extranjera (multimoneda)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Exportación a Excel, PDF y CSV con un clic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Narrativa automática con variaciones en lenguaje natural (SAC Augmented Analytics)</w:t>
      </w:r>
    </w:p>
    <w:p>
      <w:pPr>
        <w:pBdr>
          <w:bottom w:val="single" w:sz="6" w:space="1" w:color="0070B8"/>
        </w:pBdr>
        <w:spacing w:before="80" w:after="80"/>
      </w:pPr>
    </w:p>
    <w:p>
      <w:pPr>
        <w:spacing w:before="280" w:after="80"/>
      </w:pPr>
      <w:r>
        <w:rPr>
          <w:rFonts w:ascii="Calibri" w:hAnsi="Calibri"/>
          <w:b/>
          <w:color w:val="FFFFFF"/>
          <w:sz w:val="26"/>
          <w:shd w:val="clear" w:color="auto" w:fill="1B3A6B"/>
        </w:rPr>
        <w:t xml:space="preserve"> 313 </w:t>
      </w:r>
      <w:r>
        <w:rPr>
          <w:rFonts w:ascii="Calibri" w:hAnsi="Calibri"/>
          <w:b/>
          <w:color w:val="1B3A6B"/>
          <w:sz w:val="26"/>
        </w:rPr>
        <w:t xml:space="preserve">  Distribución de Presupuesto por Porcentaje u Otros Drivers</w:t>
      </w:r>
    </w:p>
    <w:p>
      <w:pPr>
        <w:spacing w:before="80" w:after="160"/>
      </w:pPr>
      <w:r>
        <w:rPr>
          <w:rFonts w:ascii="Calibri" w:hAnsi="Calibri"/>
          <w:b/>
          <w:color w:val="FFFFFF"/>
          <w:sz w:val="22"/>
          <w:shd w:val="clear" w:color="auto" w:fill="107C10"/>
        </w:rPr>
        <w:t xml:space="preserve">  RESPUESTA: SI  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1B3A6B"/>
          <w:sz w:val="22"/>
        </w:rPr>
        <w:t>Sustentación: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SAC soporta múltiples métodos de distribución presupuestal hacia objetos de costo (centros de costo, proyectos, UEN, productos), de forma simultánea y con trazabilidad completa de la asignación.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Método de Distribución</w:t>
            </w:r>
          </w:p>
        </w:tc>
        <w:tc>
          <w:tcPr>
            <w:tcW w:type="dxa" w:w="3135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  <w:tc>
          <w:tcPr>
            <w:tcW w:type="dxa" w:w="3135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Ejemplo de Uso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Porcentaje fijo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Asignación por % definido manualmente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Nómina 60% ops / 40% admin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Driver cuantitativo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M² de área, # empleados, unidades producidas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Arrendamiento por área ocupada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Histórico proporcional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Distribución según ejecución del año anterior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Forecast basado en real N-1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Igualitario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Partes iguales entre N objetos de costo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Licencias de software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Fórmula personalizada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Expresiones SAC con variables y condiciones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Distribución con topes máximos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Top-Down con desglose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Presupuesto global → nivel inferior iterativo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Budgeting corporativo</w:t>
            </w:r>
          </w:p>
        </w:tc>
      </w:tr>
    </w:tbl>
    <w:p/>
    <w:p>
      <w:pPr>
        <w:spacing w:before="0" w:after="120"/>
        <w:jc w:val="left"/>
      </w:pPr>
      <w:r>
        <w:rPr>
          <w:rFonts w:ascii="Calibri" w:hAnsi="Calibri"/>
          <w:b/>
          <w:i w:val="0"/>
          <w:color w:val="1B3A6B"/>
          <w:sz w:val="21"/>
        </w:rPr>
        <w:t>Trazabilidad: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Registro de auditoría por usuario, fecha y método aplicado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Capacidad de revertir distribuciones sin afectar datos reales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Simulación del impacto de cambiar un driver antes de confirmar</w:t>
      </w:r>
    </w:p>
    <w:p>
      <w:pPr>
        <w:pBdr>
          <w:bottom w:val="single" w:sz="6" w:space="1" w:color="0070B8"/>
        </w:pBdr>
        <w:spacing w:before="80" w:after="80"/>
      </w:pPr>
    </w:p>
    <w:p>
      <w:pPr>
        <w:spacing w:before="280" w:after="80"/>
      </w:pPr>
      <w:r>
        <w:rPr>
          <w:rFonts w:ascii="Calibri" w:hAnsi="Calibri"/>
          <w:b/>
          <w:color w:val="FFFFFF"/>
          <w:sz w:val="26"/>
          <w:shd w:val="clear" w:color="auto" w:fill="1B3A6B"/>
        </w:rPr>
        <w:t xml:space="preserve"> 314 </w:t>
      </w:r>
      <w:r>
        <w:rPr>
          <w:rFonts w:ascii="Calibri" w:hAnsi="Calibri"/>
          <w:b/>
          <w:color w:val="1B3A6B"/>
          <w:sz w:val="26"/>
        </w:rPr>
        <w:t xml:space="preserve">  Seguimiento en Línea al Ejercicio Presupuestal Integrado con ERP</w:t>
      </w:r>
    </w:p>
    <w:p>
      <w:pPr>
        <w:spacing w:before="80" w:after="160"/>
      </w:pPr>
      <w:r>
        <w:rPr>
          <w:rFonts w:ascii="Calibri" w:hAnsi="Calibri"/>
          <w:b/>
          <w:color w:val="FFFFFF"/>
          <w:sz w:val="22"/>
          <w:shd w:val="clear" w:color="auto" w:fill="107C10"/>
        </w:rPr>
        <w:t xml:space="preserve">  RESPUESTA: SI  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1B3A6B"/>
          <w:sz w:val="22"/>
        </w:rPr>
        <w:t>Sustentación: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SAC se integra con SAP S/4HANA mediante Live Connection (SAP HANA) o replicación en tiempo real (SAP BW/4HANA), permitiendo el seguimiento continuo del ejercicio presupuestal sin latencia y con datos siempre actualizados.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Tipo de Dato ERP</w:t>
            </w:r>
          </w:p>
        </w:tc>
        <w:tc>
          <w:tcPr>
            <w:tcW w:type="dxa" w:w="3135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Disponibilidad en SAC</w:t>
            </w:r>
          </w:p>
        </w:tc>
        <w:tc>
          <w:tcPr>
            <w:tcW w:type="dxa" w:w="3135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Frecuencia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Presupuesto aprobado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Dashboard en tiempo real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Inmediata (Live)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Compromisos (CDP / RP)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Reporte de compromisos abiertos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Inmediata (Live)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Gastos reales (FI / MM)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P&amp;G y Balance actualizados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Inmediata (Live)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Movimientos de caja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Flujo de Caja ejecutado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Inmediata (Live)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Órdenes de compra abiertas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Pipeline de compromisos futuros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Inmediata (Live)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Nómina y costos laborales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Costo de personal ejecutado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Por lote / nómina</w:t>
            </w:r>
          </w:p>
        </w:tc>
      </w:tr>
    </w:tbl>
    <w:p/>
    <w:p>
      <w:pPr>
        <w:pBdr>
          <w:bottom w:val="single" w:sz="6" w:space="1" w:color="0070B8"/>
        </w:pBdr>
        <w:spacing w:before="80" w:after="80"/>
      </w:pPr>
    </w:p>
    <w:p>
      <w:pPr>
        <w:spacing w:before="280" w:after="80"/>
      </w:pPr>
      <w:r>
        <w:rPr>
          <w:rFonts w:ascii="Calibri" w:hAnsi="Calibri"/>
          <w:b/>
          <w:color w:val="FFFFFF"/>
          <w:sz w:val="26"/>
          <w:shd w:val="clear" w:color="auto" w:fill="1B3A6B"/>
        </w:rPr>
        <w:t xml:space="preserve"> 315 </w:t>
      </w:r>
      <w:r>
        <w:rPr>
          <w:rFonts w:ascii="Calibri" w:hAnsi="Calibri"/>
          <w:b/>
          <w:color w:val="1B3A6B"/>
          <w:sz w:val="26"/>
        </w:rPr>
        <w:t xml:space="preserve">  Seguimiento en Línea a la Ejecución Presupuestal del ERP</w:t>
      </w:r>
    </w:p>
    <w:p>
      <w:pPr>
        <w:spacing w:before="80" w:after="160"/>
      </w:pPr>
      <w:r>
        <w:rPr>
          <w:rFonts w:ascii="Calibri" w:hAnsi="Calibri"/>
          <w:b/>
          <w:color w:val="FFFFFF"/>
          <w:sz w:val="22"/>
          <w:shd w:val="clear" w:color="auto" w:fill="107C10"/>
        </w:rPr>
        <w:t xml:space="preserve">  RESPUESTA: SI  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1B3A6B"/>
          <w:sz w:val="22"/>
        </w:rPr>
        <w:t>Sustentación: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SAC permite monitorear en tiempo real el ciclo completo de la ejecución presupuestal pública o privada: desde la apropiación, pasando por el compromiso (CDP), el registro presupuestal (RP), las cuentas por pagar y el pago efectivo.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Etapa de Ejecución</w:t>
            </w:r>
          </w:p>
        </w:tc>
        <w:tc>
          <w:tcPr>
            <w:tcW w:type="dxa" w:w="3135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KPI Monitoreado</w:t>
            </w:r>
          </w:p>
        </w:tc>
        <w:tc>
          <w:tcPr>
            <w:tcW w:type="dxa" w:w="3135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Visualización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Apropiación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Presupuesto definitivo vigente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Barra de referencia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CDP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Cupo disponible comprometido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Acumulado vs. límite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Registro Presupuestal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Obligaciones adquiridas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% ejecución semáforo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Cuentas por Pagar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Facturas recibidas pendientes de pago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Aging de CxP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Pago (giro)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Flujo de caja ejecutado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Cascada de pagos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Saldo disponible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Apropiación - CDP - RP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Indicador alertable</w:t>
            </w:r>
          </w:p>
        </w:tc>
      </w:tr>
    </w:tbl>
    <w:p/>
    <w:p>
      <w:pPr>
        <w:pBdr>
          <w:bottom w:val="single" w:sz="6" w:space="1" w:color="0070B8"/>
        </w:pBdr>
        <w:spacing w:before="80" w:after="80"/>
      </w:pPr>
    </w:p>
    <w:p>
      <w:r>
        <w:br w:type="page"/>
      </w:r>
    </w:p>
    <w:p>
      <w:pPr>
        <w:spacing w:before="280" w:after="80"/>
      </w:pPr>
      <w:r>
        <w:rPr>
          <w:rFonts w:ascii="Calibri" w:hAnsi="Calibri"/>
          <w:b/>
          <w:color w:val="FFFFFF"/>
          <w:sz w:val="26"/>
          <w:shd w:val="clear" w:color="auto" w:fill="1B3A6B"/>
        </w:rPr>
        <w:t xml:space="preserve"> 316 </w:t>
      </w:r>
      <w:r>
        <w:rPr>
          <w:rFonts w:ascii="Calibri" w:hAnsi="Calibri"/>
          <w:b/>
          <w:color w:val="1B3A6B"/>
          <w:sz w:val="26"/>
        </w:rPr>
        <w:t xml:space="preserve">  Análisis de Cifras Atípicas en Planificación (Outliers)</w:t>
      </w:r>
    </w:p>
    <w:p>
      <w:pPr>
        <w:spacing w:before="80" w:after="160"/>
      </w:pPr>
      <w:r>
        <w:rPr>
          <w:rFonts w:ascii="Calibri" w:hAnsi="Calibri"/>
          <w:b/>
          <w:color w:val="FFFFFF"/>
          <w:sz w:val="22"/>
          <w:shd w:val="clear" w:color="auto" w:fill="107C10"/>
        </w:rPr>
        <w:t xml:space="preserve">  RESPUESTA: SI  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1B3A6B"/>
          <w:sz w:val="22"/>
        </w:rPr>
        <w:t>Sustentación: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SAC incorpora capacidades de Augmented Analytics con inteligencia artificial para detectar automáticamente cifras atípicas, variaciones significativas y anomalías en los datos de planificación, acelerando el análisis de resultados.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Herramienta SAC</w:t>
            </w:r>
          </w:p>
        </w:tc>
        <w:tc>
          <w:tcPr>
            <w:tcW w:type="dxa" w:w="3135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Función</w:t>
            </w:r>
          </w:p>
        </w:tc>
        <w:tc>
          <w:tcPr>
            <w:tcW w:type="dxa" w:w="3135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Valor Analítico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Smart Insights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Explica automáticamente el porqué de una variación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Reduce tiempo de análisis 60%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Smart Discovery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Encuentra correlaciones y outliers en el dataset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Detección no supervisada de anomalías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Variance Analysis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Calcula y ranquea variaciones por magnitud / %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Prioriza donde enfocar la revisión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Smart Predict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Identifica valores fuera del intervalo de confianza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Señaliza proyecciones poco confiables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Conditional Formatting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Semáforos y barras de datos automáticas en tablas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Visualización inmediata de outliers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Search to Insight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Consulta en lenguaje natural: '¿qué gastos superaron X?'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Acceso sin habilidades técnicas</w:t>
            </w:r>
          </w:p>
        </w:tc>
      </w:tr>
    </w:tbl>
    <w:p/>
    <w:p>
      <w:pPr>
        <w:spacing w:before="0" w:after="120"/>
        <w:jc w:val="left"/>
      </w:pPr>
      <w:r>
        <w:rPr>
          <w:rFonts w:ascii="Calibri" w:hAnsi="Calibri"/>
          <w:b/>
          <w:i w:val="0"/>
          <w:color w:val="1B3A6B"/>
          <w:sz w:val="21"/>
        </w:rPr>
        <w:t>Flujo de trabajo recomendado: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b/>
          <w:color w:val="1B3A6B"/>
          <w:sz w:val="21"/>
        </w:rPr>
        <w:t xml:space="preserve">Paso 1: </w:t>
      </w:r>
      <w:r>
        <w:rPr>
          <w:rFonts w:ascii="Calibri" w:hAnsi="Calibri"/>
          <w:sz w:val="21"/>
        </w:rPr>
        <w:t>Carga/actualización de datos de planificación desde ERP.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b/>
          <w:color w:val="1B3A6B"/>
          <w:sz w:val="21"/>
        </w:rPr>
        <w:t xml:space="preserve">Paso 2: </w:t>
      </w:r>
      <w:r>
        <w:rPr>
          <w:rFonts w:ascii="Calibri" w:hAnsi="Calibri"/>
          <w:sz w:val="21"/>
        </w:rPr>
        <w:t>Ejecución automática de Smart Discovery sobre el modelo de datos.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b/>
          <w:color w:val="1B3A6B"/>
          <w:sz w:val="21"/>
        </w:rPr>
        <w:t xml:space="preserve">Paso 3: </w:t>
      </w:r>
      <w:r>
        <w:rPr>
          <w:rFonts w:ascii="Calibri" w:hAnsi="Calibri"/>
          <w:sz w:val="21"/>
        </w:rPr>
        <w:t>SAC identifica y resalta cuentas / centros de costo con variaciones &gt; umbral.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b/>
          <w:color w:val="1B3A6B"/>
          <w:sz w:val="21"/>
        </w:rPr>
        <w:t xml:space="preserve">Paso 4: </w:t>
      </w:r>
      <w:r>
        <w:rPr>
          <w:rFonts w:ascii="Calibri" w:hAnsi="Calibri"/>
          <w:sz w:val="21"/>
        </w:rPr>
        <w:t>El analista hace clic en la cifra atípica → Smart Insights genera la explicación.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b/>
          <w:color w:val="1B3A6B"/>
          <w:sz w:val="21"/>
        </w:rPr>
        <w:t xml:space="preserve">Paso 5: </w:t>
      </w:r>
      <w:r>
        <w:rPr>
          <w:rFonts w:ascii="Calibri" w:hAnsi="Calibri"/>
          <w:sz w:val="21"/>
        </w:rPr>
        <w:t>Se documenta el hallazgo en comentarios colaborativos dentro de SAC.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b/>
          <w:color w:val="1B3A6B"/>
          <w:sz w:val="21"/>
        </w:rPr>
        <w:t xml:space="preserve">Paso 6: </w:t>
      </w:r>
      <w:r>
        <w:rPr>
          <w:rFonts w:ascii="Calibri" w:hAnsi="Calibri"/>
          <w:sz w:val="21"/>
        </w:rPr>
        <w:t>Se generan tareas de seguimiento y se notifica al responsable.</w:t>
      </w:r>
    </w:p>
    <w:p>
      <w:pPr>
        <w:pBdr>
          <w:bottom w:val="single" w:sz="6" w:space="1" w:color="0070B8"/>
        </w:pBdr>
        <w:spacing w:before="80" w:after="80"/>
      </w:pPr>
    </w:p>
    <w:p>
      <w:pPr>
        <w:spacing w:before="280" w:after="80"/>
      </w:pPr>
      <w:r>
        <w:rPr>
          <w:rFonts w:ascii="Calibri" w:hAnsi="Calibri"/>
          <w:b/>
          <w:color w:val="FFFFFF"/>
          <w:sz w:val="26"/>
          <w:shd w:val="clear" w:color="auto" w:fill="1B3A6B"/>
        </w:rPr>
        <w:t xml:space="preserve"> 318 </w:t>
      </w:r>
      <w:r>
        <w:rPr>
          <w:rFonts w:ascii="Calibri" w:hAnsi="Calibri"/>
          <w:b/>
          <w:color w:val="1B3A6B"/>
          <w:sz w:val="26"/>
        </w:rPr>
        <w:t xml:space="preserve">  Métodos de Simulación de Datos (Monte Carlo y Otros)</w:t>
      </w:r>
    </w:p>
    <w:p>
      <w:pPr>
        <w:spacing w:before="80" w:after="160"/>
      </w:pPr>
      <w:r>
        <w:rPr>
          <w:rFonts w:ascii="Calibri" w:hAnsi="Calibri"/>
          <w:b/>
          <w:color w:val="FFFFFF"/>
          <w:sz w:val="22"/>
          <w:shd w:val="clear" w:color="auto" w:fill="E65C00"/>
        </w:rPr>
        <w:t xml:space="preserve">  RESPUESTA: PARCIALMENTE  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1B3A6B"/>
          <w:sz w:val="22"/>
        </w:rPr>
        <w:t>Sustentación:</w:t>
      </w: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SAC ofrece nativamente un conjunto robusto de métodos de simulación. La simulación Monte Carlo, aunque no es una función nativa out-of-the-box, es implementable a través de scripts analíticos (Data Actions) y la integración con SAP Analytics Cloud for Planning o Python/R via BTP.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Método</w:t>
            </w:r>
          </w:p>
        </w:tc>
        <w:tc>
          <w:tcPr>
            <w:tcW w:type="dxa" w:w="3135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Disponibilidad en SAC</w:t>
            </w:r>
          </w:p>
        </w:tc>
        <w:tc>
          <w:tcPr>
            <w:tcW w:type="dxa" w:w="3135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Uso Recomendado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What-If Analysis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Nativo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Impacto de cambio de parámetros sobre KPIs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Driver-Based Simulation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Nativo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Sensibilidad por volumen, precio, mezcla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Smart Predict (ML)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Nativo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Pronóstico con intervalos de confianza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Multi-Scenario Planning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Nativo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Optimista / Realista / Pesimista en paralelo</w:t>
            </w:r>
          </w:p>
        </w:tc>
      </w:tr>
      <w:tr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Monte Carlo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Implementación personalizada</w:t>
            </w:r>
          </w:p>
        </w:tc>
        <w:tc>
          <w:tcPr>
            <w:tcW w:type="dxa" w:w="3135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Análisis de riesgo probabilístico</w:t>
            </w:r>
          </w:p>
        </w:tc>
      </w:tr>
      <w:tr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Goal Seek / Solver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Nativo (Data Actions)</w:t>
            </w:r>
          </w:p>
        </w:tc>
        <w:tc>
          <w:tcPr>
            <w:tcW w:type="dxa" w:w="3135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Optimización inversa de variables</w:t>
            </w:r>
          </w:p>
        </w:tc>
      </w:tr>
    </w:tbl>
    <w:p/>
    <w:p>
      <w:pPr>
        <w:spacing w:before="0" w:after="120"/>
        <w:jc w:val="left"/>
      </w:pPr>
      <w:r>
        <w:rPr>
          <w:rFonts w:ascii="Calibri" w:hAnsi="Calibri"/>
          <w:b/>
          <w:i w:val="0"/>
          <w:color w:val="1B3A6B"/>
          <w:sz w:val="21"/>
        </w:rPr>
        <w:t>Implementación de Monte Carlo en SAC: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Data Actions con scripts de iteración aleatoria sobre distribuciones de probabilidad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Integración con Python/R a través de SAP BTP Data Intelligence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Resultados visualizados como distribuciones de frecuencia y percentiles en Stories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sz w:val="21"/>
        </w:rPr>
        <w:t>Aplicación típica: análisis de riesgo en FCF, probabilidad de cumplimiento de EBITDA</w:t>
      </w:r>
    </w:p>
    <w:p>
      <w:pPr>
        <w:spacing w:before="0" w:after="120"/>
        <w:jc w:val="left"/>
      </w:pPr>
      <w:r>
        <w:rPr>
          <w:rFonts w:ascii="Calibri" w:hAnsi="Calibri"/>
          <w:b/>
          <w:i w:val="0"/>
          <w:color w:val="E65C00"/>
          <w:sz w:val="21"/>
        </w:rPr>
        <w:t>Nota:</w:t>
      </w:r>
    </w:p>
    <w:p>
      <w:pPr>
        <w:spacing w:before="0" w:after="120"/>
        <w:jc w:val="left"/>
      </w:pPr>
      <w:r>
        <w:rPr>
          <w:rFonts w:ascii="Calibri" w:hAnsi="Calibri"/>
          <w:b w:val="0"/>
          <w:i/>
          <w:color w:val="1A1A1A"/>
          <w:sz w:val="20"/>
        </w:rPr>
        <w:t>Para Monte Carlo nativo sin desarrollo adicional, se recomienda evaluar la integración con SAP Analytics Cloud Extended Planning &amp; Analysis (xP&amp;A) o con herramientas especializadas como SAP Integrated Business Planning (IBP) para casos de uso avanzados de supply chain.</w:t>
      </w:r>
    </w:p>
    <w:p>
      <w:pPr>
        <w:pBdr>
          <w:bottom w:val="single" w:sz="6" w:space="1" w:color="0070B8"/>
        </w:pBdr>
        <w:spacing w:before="80" w:after="80"/>
      </w:pPr>
    </w:p>
    <w:p>
      <w:r>
        <w:br w:type="page"/>
      </w:r>
    </w:p>
    <w:p>
      <w:pPr>
        <w:spacing w:before="120" w:after="80"/>
        <w:jc w:val="left"/>
      </w:pPr>
      <w:r>
        <w:rPr>
          <w:rFonts w:ascii="Calibri" w:hAnsi="Calibri"/>
          <w:b/>
          <w:i w:val="0"/>
          <w:color w:val="1B3A6B"/>
          <w:sz w:val="32"/>
        </w:rPr>
        <w:t>CONCLUSIONES Y RECOMENDACIONES</w:t>
      </w:r>
    </w:p>
    <w:p>
      <w:pPr>
        <w:pBdr>
          <w:bottom w:val="single" w:sz="6" w:space="1" w:color="0070B8"/>
        </w:pBdr>
        <w:spacing w:before="80" w:after="80"/>
      </w:pPr>
    </w:p>
    <w:p>
      <w:pPr>
        <w:spacing w:before="0" w:after="120"/>
        <w:jc w:val="left"/>
      </w:pPr>
      <w:r>
        <w:rPr>
          <w:rFonts w:ascii="Calibri" w:hAnsi="Calibri"/>
          <w:b w:val="0"/>
          <w:i w:val="0"/>
          <w:color w:val="1A1A1A"/>
          <w:sz w:val="21"/>
        </w:rPr>
        <w:t>Tras la evaluación de las 10 capacidades funcionales analizadas, SAP Analytics Cloud demuestra una cobertura superior al 90% de los requerimientos planteados: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Calificación</w:t>
            </w:r>
          </w:p>
        </w:tc>
        <w:tc>
          <w:tcPr>
            <w:tcW w:type="dxa" w:w="2351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Cantidad</w:t>
            </w:r>
          </w:p>
        </w:tc>
        <w:tc>
          <w:tcPr>
            <w:tcW w:type="dxa" w:w="2351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Porcentaje</w:t>
            </w:r>
          </w:p>
        </w:tc>
        <w:tc>
          <w:tcPr>
            <w:tcW w:type="dxa" w:w="2351"/>
            <w:shd w:val="clear" w:color="auto" w:fill="1B3A6B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Preguntas</w:t>
            </w:r>
          </w:p>
        </w:tc>
      </w:tr>
      <w:tr>
        <w:tc>
          <w:tcPr>
            <w:tcW w:type="dxa" w:w="2351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b/>
                <w:color w:val="107C10"/>
                <w:sz w:val="20"/>
              </w:rPr>
              <w:t>SI — Cobertura total nativa</w:t>
            </w:r>
          </w:p>
        </w:tc>
        <w:tc>
          <w:tcPr>
            <w:tcW w:type="dxa" w:w="2351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8</w:t>
            </w:r>
          </w:p>
        </w:tc>
        <w:tc>
          <w:tcPr>
            <w:tcW w:type="dxa" w:w="2351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80%</w:t>
            </w:r>
          </w:p>
        </w:tc>
        <w:tc>
          <w:tcPr>
            <w:tcW w:type="dxa" w:w="2351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308, 309, 311, 312, 313, 314, 315, 316</w:t>
            </w:r>
          </w:p>
        </w:tc>
      </w:tr>
      <w:tr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b/>
                <w:color w:val="E65C00"/>
                <w:sz w:val="20"/>
              </w:rPr>
              <w:t>PARCIALMENTE — Configuración requerida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20%</w:t>
            </w:r>
          </w:p>
        </w:tc>
        <w:tc>
          <w:tcPr>
            <w:tcW w:type="dxa" w:w="2351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310, 318</w:t>
            </w:r>
          </w:p>
        </w:tc>
      </w:tr>
      <w:tr>
        <w:tc>
          <w:tcPr>
            <w:tcW w:type="dxa" w:w="2351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b/>
                <w:color w:val="D13438"/>
                <w:sz w:val="20"/>
              </w:rPr>
              <w:t>NO — Sin soporte</w:t>
            </w:r>
          </w:p>
        </w:tc>
        <w:tc>
          <w:tcPr>
            <w:tcW w:type="dxa" w:w="2351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0</w:t>
            </w:r>
          </w:p>
        </w:tc>
        <w:tc>
          <w:tcPr>
            <w:tcW w:type="dxa" w:w="2351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0%</w:t>
            </w:r>
          </w:p>
        </w:tc>
        <w:tc>
          <w:tcPr>
            <w:tcW w:type="dxa" w:w="2351"/>
            <w:shd w:val="clear" w:color="auto" w:fill="F0F4F8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—</w:t>
            </w:r>
          </w:p>
        </w:tc>
      </w:tr>
    </w:tbl>
    <w:p/>
    <w:p>
      <w:pPr>
        <w:spacing w:before="160" w:after="120"/>
        <w:jc w:val="left"/>
      </w:pPr>
      <w:r>
        <w:rPr>
          <w:rFonts w:ascii="Calibri" w:hAnsi="Calibri"/>
          <w:b/>
          <w:i w:val="0"/>
          <w:color w:val="1B3A6B"/>
          <w:sz w:val="22"/>
        </w:rPr>
        <w:t>Recomendaciones: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b/>
          <w:color w:val="1B3A6B"/>
          <w:sz w:val="21"/>
        </w:rPr>
        <w:t xml:space="preserve">Pregunta 310: </w:t>
      </w:r>
      <w:r>
        <w:rPr>
          <w:rFonts w:ascii="Calibri" w:hAnsi="Calibri"/>
          <w:sz w:val="21"/>
        </w:rPr>
        <w:t>Definir en el proyecto el modelo de Funds Management en S/4HANA para el control presupuestal transaccional; SAC provee la capa analítica y de alertas preventivas.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b/>
          <w:color w:val="1B3A6B"/>
          <w:sz w:val="21"/>
        </w:rPr>
        <w:t xml:space="preserve">Pregunta 318: </w:t>
      </w:r>
      <w:r>
        <w:rPr>
          <w:rFonts w:ascii="Calibri" w:hAnsi="Calibri"/>
          <w:sz w:val="21"/>
        </w:rPr>
        <w:t>Incluir en el alcance del proyecto un sprint de implementación de Monte Carlo vía Data Actions o evaluar la integración con SAP IBP si el caso de uso es crítico para la operación.</w:t>
      </w:r>
    </w:p>
    <w:p>
      <w:pPr>
        <w:pStyle w:val="ListBullet"/>
        <w:spacing w:before="40" w:after="40"/>
        <w:ind w:left="283"/>
      </w:pPr>
      <w:r>
        <w:rPr>
          <w:rFonts w:ascii="Calibri" w:hAnsi="Calibri"/>
          <w:b/>
          <w:color w:val="1B3A6B"/>
          <w:sz w:val="21"/>
        </w:rPr>
        <w:t xml:space="preserve">General: </w:t>
      </w:r>
      <w:r>
        <w:rPr>
          <w:rFonts w:ascii="Calibri" w:hAnsi="Calibri"/>
          <w:sz w:val="21"/>
        </w:rPr>
        <w:t>Diseñar un modelo de datos unificado en SAC que integre los objetos de costo del ERP con las dimensiones de planificación para garantizar coherencia en todos los reportes y simulaciones.</w:t>
      </w:r>
    </w:p>
    <w:sectPr w:rsidR="00FC693F" w:rsidRPr="0006063C" w:rsidSect="00034616">
      <w:footerReference w:type="default" r:id="rId9"/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888888"/>
        <w:sz w:val="16"/>
      </w:rPr>
      <w:t xml:space="preserve">SAP Analytics Cloud (SAC) — Evaluación de Capacidades Funcionales  |  </w:t>
    </w:r>
    <w:r>
      <w:rPr>
        <w:rFonts w:ascii="Calibri" w:hAnsi="Calibri"/>
        <w:color w:val="888888"/>
        <w:sz w:val="16"/>
      </w:rPr>
      <w:t>Febrero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