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60"/>
      </w:tblGrid>
      <w:tr>
        <w:tc>
          <w:tcPr>
            <w:tcW w:type="dxa" w:w="9660"/>
            <w:shd w:fill="1D2D44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2"/>
                <w:szCs w:val="22"/>
              </w:rPr>
              <w:t xml:space="preserve">SAP ANALYTICS CLOUD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7D6EA"/>
                <w:sz w:val="16"/>
                <w:szCs w:val="16"/>
              </w:rPr>
              <w:t xml:space="preserve">Business Intelligence · Planning · Predictive</w:t>
            </w:r>
          </w:p>
        </w:tc>
      </w:tr>
    </w:tbl>
    <w:p>
      <w:pPr>
        <w:spacing w:before="900"/>
      </w:pP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C88A00"/>
          <w:spacing w:val="30"/>
          <w:sz w:val="26"/>
          <w:szCs w:val="26"/>
        </w:rPr>
        <w:t xml:space="preserve">DOCUMENTO TÉCNICO DE ENTREGA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D2D44"/>
          <w:sz w:val="56"/>
          <w:szCs w:val="56"/>
        </w:rPr>
        <w:t xml:space="preserve">Cierre de Implementación</w:t>
      </w:r>
    </w:p>
    <w:p>
      <w:pPr>
        <w:spacing w:after="400"/>
        <w:jc w:val="left"/>
      </w:pPr>
      <w:r>
        <w:rPr>
          <w:rFonts w:ascii="Calibri" w:cs="Calibri" w:eastAsia="Calibri" w:hAnsi="Calibri"/>
          <w:i/>
          <w:iCs/>
          <w:color w:val="5B6B7B"/>
          <w:sz w:val="24"/>
          <w:szCs w:val="24"/>
        </w:rPr>
        <w:t xml:space="preserve">Documentación técnica de la solución desplegada en SAP Analytics Cloud</w:t>
      </w:r>
    </w:p>
    <w:p>
      <w:pPr>
        <w:pBdr>
          <w:bottom w:val="single" w:color="C88A00" w:sz="18" w:space="4"/>
        </w:pBdr>
        <w:spacing w:after="300"/>
      </w:pPr>
    </w:p>
    <w:tbl>
      <w:tblPr>
        <w:tblW w:type="pct" w:w="7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4360"/>
      </w:tblGrid>
      <w:tr>
        <w:tc>
          <w:tcPr>
            <w:tcW w:type="dxa" w:w="2400"/>
            <w:tcMar>
              <w:top w:type="dxa" w:w="40"/>
              <w:bottom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D2D44"/>
                <w:sz w:val="20"/>
                <w:szCs w:val="20"/>
              </w:rPr>
              <w:t xml:space="preserve">Proyecto</w:t>
            </w:r>
          </w:p>
        </w:tc>
        <w:tc>
          <w:tcPr>
            <w:tcW w:type="dxa" w:w="4360"/>
            <w:tcMar>
              <w:top w:type="dxa" w:w="40"/>
              <w:bottom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7B"/>
                <w:sz w:val="20"/>
                <w:szCs w:val="20"/>
              </w:rPr>
              <w:t xml:space="preserve">«Nombre del proyecto»</w:t>
            </w:r>
          </w:p>
        </w:tc>
      </w:tr>
      <w:tr>
        <w:tc>
          <w:tcPr>
            <w:tcW w:type="dxa" w:w="2400"/>
            <w:tcMar>
              <w:top w:type="dxa" w:w="40"/>
              <w:bottom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D2D44"/>
                <w:sz w:val="20"/>
                <w:szCs w:val="20"/>
              </w:rPr>
              <w:t xml:space="preserve">Cliente</w:t>
            </w:r>
          </w:p>
        </w:tc>
        <w:tc>
          <w:tcPr>
            <w:tcW w:type="dxa" w:w="4360"/>
            <w:tcMar>
              <w:top w:type="dxa" w:w="40"/>
              <w:bottom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7B"/>
                <w:sz w:val="20"/>
                <w:szCs w:val="20"/>
              </w:rPr>
              <w:t xml:space="preserve">«Nombre del cliente»</w:t>
            </w:r>
          </w:p>
        </w:tc>
      </w:tr>
      <w:tr>
        <w:tc>
          <w:tcPr>
            <w:tcW w:type="dxa" w:w="2400"/>
            <w:tcMar>
              <w:top w:type="dxa" w:w="40"/>
              <w:bottom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D2D44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4360"/>
            <w:tcMar>
              <w:top w:type="dxa" w:w="40"/>
              <w:bottom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7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Mar>
              <w:top w:type="dxa" w:w="40"/>
              <w:bottom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D2D44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4360"/>
            <w:tcMar>
              <w:top w:type="dxa" w:w="40"/>
              <w:bottom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7B"/>
                <w:sz w:val="20"/>
                <w:szCs w:val="20"/>
              </w:rPr>
              <w:t xml:space="preserve">«DD/MM/AAAA»</w:t>
            </w:r>
          </w:p>
        </w:tc>
      </w:tr>
      <w:tr>
        <w:tc>
          <w:tcPr>
            <w:tcW w:type="dxa" w:w="2400"/>
            <w:tcMar>
              <w:top w:type="dxa" w:w="40"/>
              <w:bottom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D2D44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4360"/>
            <w:tcMar>
              <w:top w:type="dxa" w:w="40"/>
              <w:bottom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7B"/>
                <w:sz w:val="20"/>
                <w:szCs w:val="20"/>
              </w:rPr>
              <w:t xml:space="preserve">Confidencial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Control del documento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Historial de versiones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1100"/>
        <w:gridCol w:w="1700"/>
        <w:gridCol w:w="2400"/>
        <w:gridCol w:w="4460"/>
      </w:tblGrid>
      <w:tr>
        <w:trPr>
          <w:tblHeader/>
        </w:trPr>
        <w:tc>
          <w:tcPr>
            <w:tcW w:type="dxa" w:w="11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7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4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del cambio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0.1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«DD/MM/AAAA»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«Autor»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Versión inicial / borrador</w:t>
            </w:r>
          </w:p>
        </w:tc>
      </w:tr>
      <w:tr>
        <w:tc>
          <w:tcPr>
            <w:tcW w:type="dxa" w:w="11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0.9</w:t>
            </w:r>
          </w:p>
        </w:tc>
        <w:tc>
          <w:tcPr>
            <w:tcW w:type="dxa" w:w="1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«DD/MM/AAAA»</w:t>
            </w:r>
          </w:p>
        </w:tc>
        <w:tc>
          <w:tcPr>
            <w:tcW w:type="dxa" w:w="2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«Autor»</w:t>
            </w:r>
          </w:p>
        </w:tc>
        <w:tc>
          <w:tcPr>
            <w:tcW w:type="dxa" w:w="4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Revisión interna del equipo técnico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«DD/MM/AAAA»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«Autor»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Versión aprobada para entrega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Aprobaciones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200"/>
        <w:gridCol w:w="2200"/>
        <w:gridCol w:w="2160"/>
        <w:gridCol w:w="2100"/>
      </w:tblGrid>
      <w:tr>
        <w:trPr>
          <w:tblHeader/>
        </w:trPr>
        <w:tc>
          <w:tcPr>
            <w:tcW w:type="dxa" w:w="3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1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21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Firma / Fecha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Responsable técnico (Consultora)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«Nombre»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«Consultora»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Jefe de proyecto (Cliente)</w:t>
            </w:r>
          </w:p>
        </w:tc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«Nombre»</w:t>
            </w:r>
          </w:p>
        </w:tc>
        <w:tc>
          <w:tcPr>
            <w:tcW w:type="dxa" w:w="21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«Cliente»</w:t>
            </w:r>
          </w:p>
        </w:tc>
        <w:tc>
          <w:tcPr>
            <w:tcW w:type="dxa" w:w="21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Responsable de BI / Datos (Cliente)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«Nombre»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«Cliente»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Responsable de Seguridad / TI</w:t>
            </w:r>
          </w:p>
        </w:tc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«Nombre»</w:t>
            </w:r>
          </w:p>
        </w:tc>
        <w:tc>
          <w:tcPr>
            <w:tcW w:type="dxa" w:w="21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«Cliente»</w:t>
            </w:r>
          </w:p>
        </w:tc>
        <w:tc>
          <w:tcPr>
            <w:tcW w:type="dxa" w:w="21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Distribución y confidencialidad</w:t>
      </w:r>
    </w:p>
    <w:tbl>
      <w:tblPr>
        <w:tblW w:type="pct" w:w="100%"/>
        <w:tblBorders>
          <w:top w:val="none"/>
          <w:left w:val="single" w:color="C88A00" w:sz="24"/>
          <w:bottom w:val="none"/>
          <w:right w:val="none"/>
          <w:insideH w:val="none"/>
          <w:insideV w:val="none"/>
        </w:tblBorders>
      </w:tblPr>
      <w:tblGrid>
        <w:gridCol w:w="140"/>
        <w:gridCol w:w="9520"/>
      </w:tblGrid>
      <w:tr>
        <w:tc>
          <w:tcPr>
            <w:tcW w:type="dxa" w:w="140"/>
            <w:shd w:fill="FBF3E2" w:val="clear"/>
          </w:tcPr>
          <w:p>
            <w:r>
              <w:t xml:space="preserve"/>
            </w:r>
          </w:p>
        </w:tc>
        <w:tc>
          <w:tcPr>
            <w:tcW w:type="dxa" w:w="9520"/>
            <w:shd w:fill="FB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Aviso:  </w:t>
            </w:r>
            <w:r>
              <w:rPr>
                <w:rFonts w:ascii="Calibri" w:cs="Calibri" w:eastAsia="Calibri" w:hAnsi="Calibri"/>
                <w:color w:val="2A3644"/>
                <w:sz w:val="20"/>
                <w:szCs w:val="20"/>
              </w:rPr>
              <w:t xml:space="preserve">Este documento contiene información técnica y de configuración de carácter confidencial. Su distribución queda limitada a las personas expresamente autorizadas por el cliente y la consultora.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1. Introducción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1.1 Objeto del documento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El presente documento constituye la entrega técnica de la implementación de la solución de analítica sobre SAP Analytics Cloud (SAC). Recoge la arquitectura desplegada, los objetos construidos, las conexiones a las fuentes de datos, el modelo de seguridad y las consideraciones de operación y mantenimiento necesarias para que el equipo del cliente pueda administrar, evolucionar y dar soporte a la solución de forma autónoma.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1.2 Audiencia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Está dirigido a perfiles técnicos: administradores de la plataforma SAC, equipo de BI y modelado de datos, administradores de seguridad e identidades, y responsables de soporte y operación.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1.3 Referencias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00"/>
        <w:gridCol w:w="6360"/>
        <w:gridCol w:w="2400"/>
      </w:tblGrid>
      <w:tr>
        <w:trPr>
          <w:tblHeader/>
        </w:trPr>
        <w:tc>
          <w:tcPr>
            <w:tcW w:type="dxa" w:w="9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  <w:tc>
          <w:tcPr>
            <w:tcW w:type="dxa" w:w="63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24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[R1]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Documento de alcance / SOW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«v»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[R2]</w:t>
            </w:r>
          </w:p>
        </w:tc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Diseño funcional (Blueprint)</w:t>
            </w:r>
          </w:p>
        </w:tc>
        <w:tc>
          <w:tcPr>
            <w:tcW w:type="dxa" w:w="2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«v»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[R3]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Diseño técnico / arquitectura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«v»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[R4]</w:t>
            </w:r>
          </w:p>
        </w:tc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Plan y actas de pruebas (UAT)</w:t>
            </w:r>
          </w:p>
        </w:tc>
        <w:tc>
          <w:tcPr>
            <w:tcW w:type="dxa" w:w="2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«v»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[R5]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Matriz de roles y autorizaciones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«v»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1.4 Glosario y acrónimos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200"/>
        <w:gridCol w:w="7460"/>
      </w:tblGrid>
      <w:tr>
        <w:trPr>
          <w:tblHeader/>
        </w:trPr>
        <w:tc>
          <w:tcPr>
            <w:tcW w:type="dxa" w:w="2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4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SAC</w:t>
            </w:r>
          </w:p>
        </w:tc>
        <w:tc>
          <w:tcPr>
            <w:tcW w:type="dxa" w:w="7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SAP Analytics Cloud</w:t>
            </w:r>
          </w:p>
        </w:tc>
      </w:tr>
      <w:tr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Live Connection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Conexión en vivo; los datos permanecen en el sistema origen y no se replican.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Import Connection</w:t>
            </w:r>
          </w:p>
        </w:tc>
        <w:tc>
          <w:tcPr>
            <w:tcW w:type="dxa" w:w="7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Adquisición de datos; los datos se cargan y persisten en el modelo SAC.</w:t>
            </w:r>
          </w:p>
        </w:tc>
      </w:tr>
      <w:tr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Model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Modelo semántico de datos (dimensiones, medidas, jerarquías).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Story</w:t>
            </w:r>
          </w:p>
        </w:tc>
        <w:tc>
          <w:tcPr>
            <w:tcW w:type="dxa" w:w="7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Historia; documento de visualización y análisis.</w:t>
            </w:r>
          </w:p>
        </w:tc>
      </w:tr>
      <w:tr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Analytic Application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Aplicación analítica creada con Application Design (interactividad avanzada, scripting).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DAC</w:t>
            </w:r>
          </w:p>
        </w:tc>
        <w:tc>
          <w:tcPr>
            <w:tcW w:type="dxa" w:w="7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Data Access Control; control de acceso a nivel de fila/miembro de dimensión.</w:t>
            </w:r>
          </w:p>
        </w:tc>
      </w:tr>
      <w:tr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TMS / Content Network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Mecanismos de transporte de contenido entre tenants.</w:t>
            </w:r>
          </w:p>
        </w:tc>
      </w:tr>
    </w:tbl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2. Resumen ejecutivo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Descripción breve, orientada a gestión, de la solución entregada: objetivos de negocio cubiertos, principales cuadros de mando y capacidades habilitadas (reporting, planificación, predictivo), y estado final de la implementación.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2.1 Alcance implementado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200"/>
        <w:gridCol w:w="1800"/>
        <w:gridCol w:w="4660"/>
      </w:tblGrid>
      <w:tr>
        <w:trPr>
          <w:tblHeader/>
        </w:trPr>
        <w:tc>
          <w:tcPr>
            <w:tcW w:type="dxa" w:w="3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Ámbito</w:t>
            </w:r>
          </w:p>
        </w:tc>
        <w:tc>
          <w:tcPr>
            <w:tcW w:type="dxa" w:w="18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Entregado</w:t>
            </w:r>
          </w:p>
        </w:tc>
        <w:tc>
          <w:tcPr>
            <w:tcW w:type="dxa" w:w="46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Observaciones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Modelos de datos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«N»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3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Historias (Stories)</w:t>
            </w:r>
          </w:p>
        </w:tc>
        <w:tc>
          <w:tcPr>
            <w:tcW w:type="dxa" w:w="1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«N»</w:t>
            </w:r>
          </w:p>
        </w:tc>
        <w:tc>
          <w:tcPr>
            <w:tcW w:type="dxa" w:w="4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Analytic Applications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«N»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3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Conexiones a fuentes</w:t>
            </w:r>
          </w:p>
        </w:tc>
        <w:tc>
          <w:tcPr>
            <w:tcW w:type="dxa" w:w="1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«N»</w:t>
            </w:r>
          </w:p>
        </w:tc>
        <w:tc>
          <w:tcPr>
            <w:tcW w:type="dxa" w:w="4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«Live / Import»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Modelo de planificación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Sí / No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3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Escenarios predictivos (Smart Predict)</w:t>
            </w:r>
          </w:p>
        </w:tc>
        <w:tc>
          <w:tcPr>
            <w:tcW w:type="dxa" w:w="1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Sí / No</w:t>
            </w:r>
          </w:p>
        </w:tc>
        <w:tc>
          <w:tcPr>
            <w:tcW w:type="dxa" w:w="4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2.2 Fuera de alcance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Relación explícita de funcionalidades o requisitos no incluidos en esta fase.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Integraciones o fuentes previstas para fases posteriores.</w:t>
      </w:r>
    </w:p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3. Arquitectura de la solución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3.1 Visión general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Descripción del landscape completo: tenant(s) de SAC, sistemas origen, capa de integración/modelado (p. ej. SAP Datasphere, SAP BW/4HANA, S/4HANA) y flujo de datos de extremo a extremo. Se recomienda incluir aquí el diagrama de arquitectura.</w:t>
      </w:r>
    </w:p>
    <w:tbl>
      <w:tblPr>
        <w:tblW w:type="pct" w:w="100%"/>
        <w:tblBorders>
          <w:top w:val="none"/>
          <w:left w:val="single" w:color="0A6ED1" w:sz="24"/>
          <w:bottom w:val="none"/>
          <w:right w:val="none"/>
          <w:insideH w:val="none"/>
          <w:insideV w:val="none"/>
        </w:tblBorders>
      </w:tblPr>
      <w:tblGrid>
        <w:gridCol w:w="140"/>
        <w:gridCol w:w="9520"/>
      </w:tblGrid>
      <w:tr>
        <w:tc>
          <w:tcPr>
            <w:tcW w:type="dxa" w:w="140"/>
            <w:shd w:fill="F2F6FB" w:val="clear"/>
          </w:tcPr>
          <w:p>
            <w:r>
              <w:t xml:space="preserve"/>
            </w:r>
          </w:p>
        </w:tc>
        <w:tc>
          <w:tcPr>
            <w:tcW w:type="dxa" w:w="9520"/>
            <w:shd w:fill="F2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6ED1"/>
                <w:sz w:val="20"/>
                <w:szCs w:val="20"/>
              </w:rPr>
              <w:t xml:space="preserve">Diagrama:  </w:t>
            </w:r>
            <w:r>
              <w:rPr>
                <w:rFonts w:ascii="Calibri" w:cs="Calibri" w:eastAsia="Calibri" w:hAnsi="Calibri"/>
                <w:color w:val="2A3644"/>
                <w:sz w:val="20"/>
                <w:szCs w:val="20"/>
              </w:rPr>
              <w:t xml:space="preserve">Insertar el diagrama de arquitectura de la solución (origen → integración → SAC → consumo).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3.2 Tenants y entornos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000"/>
        <w:gridCol w:w="3260"/>
        <w:gridCol w:w="2200"/>
        <w:gridCol w:w="2200"/>
      </w:tblGrid>
      <w:tr>
        <w:trPr>
          <w:tblHeader/>
        </w:trPr>
        <w:tc>
          <w:tcPr>
            <w:tcW w:type="dxa" w:w="20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Entorno</w:t>
            </w:r>
          </w:p>
        </w:tc>
        <w:tc>
          <w:tcPr>
            <w:tcW w:type="dxa" w:w="32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 del tenant</w:t>
            </w:r>
          </w:p>
        </w:tc>
        <w:tc>
          <w:tcPr>
            <w:tcW w:type="dxa" w:w="2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Center / Región</w:t>
            </w:r>
          </w:p>
        </w:tc>
        <w:tc>
          <w:tcPr>
            <w:tcW w:type="dxa" w:w="2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Desarrollo / QA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«https://…»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«DC»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Construcción y pruebas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Producción</w:t>
            </w:r>
          </w:p>
        </w:tc>
        <w:tc>
          <w:tcPr>
            <w:tcW w:type="dxa" w:w="32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«https://…»</w:t>
            </w:r>
          </w:p>
        </w:tc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«DC»</w:t>
            </w:r>
          </w:p>
        </w:tc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Operación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3.3 Estrategia de conexión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documenta el modo de consumo de datos elegido: </w:t>
      </w:r>
      <w:r>
        <w:rPr>
          <w:rFonts w:ascii="Calibri" w:cs="Calibri" w:eastAsia="Calibri" w:hAnsi="Calibri"/>
          <w:b/>
          <w:bCs/>
          <w:color w:val="1D2D44"/>
          <w:sz w:val="21"/>
          <w:szCs w:val="21"/>
        </w:rPr>
        <w:t xml:space="preserve">Live Connection</w:t>
      </w:r>
      <w:r>
        <w:rPr>
          <w:rFonts w:ascii="Calibri" w:cs="Calibri" w:eastAsia="Calibri" w:hAnsi="Calibri"/>
          <w:sz w:val="21"/>
          <w:szCs w:val="21"/>
        </w:rPr>
        <w:t xml:space="preserve"> (los datos no se replican, se consultan en tiempo real en el origen) frente a </w:t>
      </w:r>
      <w:r>
        <w:rPr>
          <w:rFonts w:ascii="Calibri" w:cs="Calibri" w:eastAsia="Calibri" w:hAnsi="Calibri"/>
          <w:b/>
          <w:bCs/>
          <w:color w:val="1D2D44"/>
          <w:sz w:val="21"/>
          <w:szCs w:val="21"/>
        </w:rPr>
        <w:t xml:space="preserve">Import / Data Acquisition</w:t>
      </w:r>
      <w:r>
        <w:rPr>
          <w:rFonts w:ascii="Calibri" w:cs="Calibri" w:eastAsia="Calibri" w:hAnsi="Calibri"/>
          <w:sz w:val="21"/>
          <w:szCs w:val="21"/>
        </w:rPr>
        <w:t xml:space="preserve"> (los datos se cargan y persisten en el modelo). Debe justificarse la decisión por dominio de datos.</w:t>
      </w:r>
    </w:p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4. Conexiones y fuentes de datos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4.1 Inventario de conexiones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200"/>
        <w:gridCol w:w="1200"/>
        <w:gridCol w:w="2260"/>
        <w:gridCol w:w="2000"/>
        <w:gridCol w:w="2000"/>
      </w:tblGrid>
      <w:tr>
        <w:trPr>
          <w:tblHeader/>
        </w:trPr>
        <w:tc>
          <w:tcPr>
            <w:tcW w:type="dxa" w:w="2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conexión</w:t>
            </w:r>
          </w:p>
        </w:tc>
        <w:tc>
          <w:tcPr>
            <w:tcW w:type="dxa" w:w="1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Sistema origen</w:t>
            </w:r>
          </w:p>
        </w:tc>
        <w:tc>
          <w:tcPr>
            <w:tcW w:type="dxa" w:w="20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0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«CONN_DSP»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Live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SAP Datasphere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Tunnel / directo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«CONN_S4»</w:t>
            </w:r>
          </w:p>
        </w:tc>
        <w:tc>
          <w:tcPr>
            <w:tcW w:type="dxa" w:w="1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Live</w:t>
            </w:r>
          </w:p>
        </w:tc>
        <w:tc>
          <w:tcPr>
            <w:tcW w:type="dxa" w:w="22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S/4HANA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SAP HANA / InA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«CONN_BW»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Import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BW/4HANA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BW Query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«CONN_FILE»</w:t>
            </w:r>
          </w:p>
        </w:tc>
        <w:tc>
          <w:tcPr>
            <w:tcW w:type="dxa" w:w="1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Import</w:t>
            </w:r>
          </w:p>
        </w:tc>
        <w:tc>
          <w:tcPr>
            <w:tcW w:type="dxa" w:w="22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Ficheros / OData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Data flow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4.2 Agente de nube (SAP Cloud Connector) y conectividad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Detalle del SAP Cloud Connector / Cloud Agent, hosts, puertos y location ID cuando aplique.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Cuentas técnicas / de servicio empleadas para cada conexión.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Certificados y su vigencia (fecha de caducidad).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4.3 Cargas y programación (para conexiones Import)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500"/>
        <w:gridCol w:w="1400"/>
        <w:gridCol w:w="1900"/>
        <w:gridCol w:w="2260"/>
      </w:tblGrid>
      <w:tr>
        <w:trPr>
          <w:tblHeader/>
        </w:trPr>
        <w:tc>
          <w:tcPr>
            <w:tcW w:type="dxa" w:w="26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/ Flujo</w:t>
            </w:r>
          </w:p>
        </w:tc>
        <w:tc>
          <w:tcPr>
            <w:tcW w:type="dxa" w:w="15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14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Ventana</w:t>
            </w:r>
          </w:p>
        </w:tc>
        <w:tc>
          <w:tcPr>
            <w:tcW w:type="dxa" w:w="19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carga</w:t>
            </w:r>
          </w:p>
        </w:tc>
        <w:tc>
          <w:tcPr>
            <w:tcW w:type="dxa" w:w="22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Dependencias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Diaria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«hh:mm»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Delta / Full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2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1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Horaria</w:t>
            </w:r>
          </w:p>
        </w:tc>
        <w:tc>
          <w:tcPr>
            <w:tcW w:type="dxa" w:w="1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Delta</w:t>
            </w:r>
          </w:p>
        </w:tc>
        <w:tc>
          <w:tcPr>
            <w:tcW w:type="dxa" w:w="22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</w:tbl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5. Modelo de datos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5.1 Inventario de modelos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000"/>
        <w:gridCol w:w="1700"/>
        <w:gridCol w:w="2000"/>
        <w:gridCol w:w="2260"/>
        <w:gridCol w:w="1700"/>
      </w:tblGrid>
      <w:tr>
        <w:trPr>
          <w:tblHeader/>
        </w:trPr>
        <w:tc>
          <w:tcPr>
            <w:tcW w:type="dxa" w:w="20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7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Conexión / Origen</w:t>
            </w:r>
          </w:p>
        </w:tc>
        <w:tc>
          <w:tcPr>
            <w:tcW w:type="dxa" w:w="22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7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Propietario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«M_Ventas»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Analítico (Live)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«CONN_S4»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Ventas y márgenes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«M_Plan»</w:t>
            </w:r>
          </w:p>
        </w:tc>
        <w:tc>
          <w:tcPr>
            <w:tcW w:type="dxa" w:w="1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Planificación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Import</w:t>
            </w:r>
          </w:p>
        </w:tc>
        <w:tc>
          <w:tcPr>
            <w:tcW w:type="dxa" w:w="22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Presupuesto y forecast</w:t>
            </w:r>
          </w:p>
        </w:tc>
        <w:tc>
          <w:tcPr>
            <w:tcW w:type="dxa" w:w="1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5.2 Dimensiones, jerarquías y medidas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Dimensiones y sus atributos; dimensiones de cuenta vs. medidas.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Jerarquías (padre-hijo y por niveles) y su mantenimiento.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Medidas calculadas y restringidas, con su fórmula y significado de negocio.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Unidades, monedas y conversión de divisa aplicada.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5.3 Diccionario de medidas clave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3600"/>
        <w:gridCol w:w="3460"/>
      </w:tblGrid>
      <w:tr>
        <w:trPr>
          <w:tblHeader/>
        </w:trPr>
        <w:tc>
          <w:tcPr>
            <w:tcW w:type="dxa" w:w="26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Medida / KPI</w:t>
            </w:r>
          </w:p>
        </w:tc>
        <w:tc>
          <w:tcPr>
            <w:tcW w:type="dxa" w:w="36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 de negocio</w:t>
            </w:r>
          </w:p>
        </w:tc>
        <w:tc>
          <w:tcPr>
            <w:tcW w:type="dxa" w:w="34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Fórmula / origen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«Margen %»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Rentabilidad sobre ventas</w:t>
            </w:r>
          </w:p>
        </w:tc>
        <w:tc>
          <w:tcPr>
            <w:tcW w:type="dxa" w:w="3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(Ventas − Coste) / Ventas</w:t>
            </w:r>
          </w:p>
        </w:tc>
      </w:tr>
      <w:tr>
        <w:tc>
          <w:tcPr>
            <w:tcW w:type="dxa" w:w="2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«Desviación vs. Plan»</w:t>
            </w:r>
          </w:p>
        </w:tc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Real frente a presupuesto</w:t>
            </w:r>
          </w:p>
        </w:tc>
        <w:tc>
          <w:tcPr>
            <w:tcW w:type="dxa" w:w="3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Real − Plan</w:t>
            </w:r>
          </w:p>
        </w:tc>
      </w:tr>
    </w:tbl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6. Historias y aplicaciones analíticas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6.1 Inventario de Stories y Analytic Applications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200"/>
        <w:gridCol w:w="1300"/>
        <w:gridCol w:w="1900"/>
        <w:gridCol w:w="1900"/>
        <w:gridCol w:w="2360"/>
      </w:tblGrid>
      <w:tr>
        <w:trPr>
          <w:tblHeader/>
        </w:trPr>
        <w:tc>
          <w:tcPr>
            <w:tcW w:type="dxa" w:w="2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3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9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Modelos usados</w:t>
            </w:r>
          </w:p>
        </w:tc>
        <w:tc>
          <w:tcPr>
            <w:tcW w:type="dxa" w:w="19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Audiencia</w:t>
            </w:r>
          </w:p>
        </w:tc>
        <w:tc>
          <w:tcPr>
            <w:tcW w:type="dxa" w:w="23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«Dashboard Ventas»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Story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«M_Ventas»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Dirección comercial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«App Planning»</w:t>
            </w:r>
          </w:p>
        </w:tc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Analytic App</w:t>
            </w:r>
          </w:p>
        </w:tc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«M_Plan»</w:t>
            </w:r>
          </w:p>
        </w:tc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Controlling</w:t>
            </w:r>
          </w:p>
        </w:tc>
        <w:tc>
          <w:tcPr>
            <w:tcW w:type="dxa" w:w="2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6.2 Diseño y estándares visuales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Plantillas, tema corporativo, paleta y tipografías aplicadas.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Convenciones de nomenclatura de objetos (modelos, historias, widgets).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Filtros, prompts, enlaces (linked analysis) y navegación entre páginas.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6.3 Scripting (Application Design)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Cuando se han utilizado Analytic Applications, se documentan los eventos y scripts principales (onInitialization, onSelect, funciones globales), variables de script y componentes personalizados.</w:t>
      </w:r>
    </w:p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7. Planificación (si aplica)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Modelos de planificación, versiones (Actual, Budget, Forecast) y categorías.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Data Actions y Multi Actions: propósito, secuencia y parámetros.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Reglas de asignación (Allocations) y advanced formulas.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Value Driver Trees y bloqueos de datos (Data Locking) por usuario/versión.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Calendario de planificación (Calendar): tareas, procesos y responsables.</w:t>
      </w:r>
    </w:p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8. Analítica predictiva (si aplica)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Escenarios de Smart Predict (clasificación, regresión, series temporales).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Datasets de entrenamiento, variables de entrada e influencers.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Métricas de calidad del modelo y política de reentrenamiento.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Uso de Smart Insights / Search-to-Insight habilitados.</w:t>
      </w:r>
    </w:p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9. Seguridad y autorizaciones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9.1 Autenticación e identidad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Proveedor de identidad (SAP Cloud Identity / IdP corporativo) y SSO (SAML 2.0).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Aprovisionamiento de usuarios (SCIM / manual) y política de contraseñas y MFA.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9.2 Roles y equipos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1900"/>
        <w:gridCol w:w="1500"/>
        <w:gridCol w:w="3800"/>
        <w:gridCol w:w="2460"/>
      </w:tblGrid>
      <w:tr>
        <w:trPr>
          <w:tblHeader/>
        </w:trPr>
        <w:tc>
          <w:tcPr>
            <w:tcW w:type="dxa" w:w="19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5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8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Permisos clave</w:t>
            </w:r>
          </w:p>
        </w:tc>
        <w:tc>
          <w:tcPr>
            <w:tcW w:type="dxa" w:w="24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Asignado a (Team)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Estándar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Gestión del tenant, conexiones, seguridad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«Team Admin»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Modelador BI</w:t>
            </w:r>
          </w:p>
        </w:tc>
        <w:tc>
          <w:tcPr>
            <w:tcW w:type="dxa" w:w="1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Personalizado</w:t>
            </w:r>
          </w:p>
        </w:tc>
        <w:tc>
          <w:tcPr>
            <w:tcW w:type="dxa" w:w="3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Crear/editar modelos e historias</w:t>
            </w:r>
          </w:p>
        </w:tc>
        <w:tc>
          <w:tcPr>
            <w:tcW w:type="dxa" w:w="2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«Team BI»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Analista / Consumidor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Personalizado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Ejecutar y comentar historias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«Team Negocio»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Planificador</w:t>
            </w:r>
          </w:p>
        </w:tc>
        <w:tc>
          <w:tcPr>
            <w:tcW w:type="dxa" w:w="1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Personalizado</w:t>
            </w:r>
          </w:p>
        </w:tc>
        <w:tc>
          <w:tcPr>
            <w:tcW w:type="dxa" w:w="3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Introducir datos de plan</w:t>
            </w:r>
          </w:p>
        </w:tc>
        <w:tc>
          <w:tcPr>
            <w:tcW w:type="dxa" w:w="2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«Team Planning»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9.3 Seguridad a nivel de datos (Data Access Control)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Descripción del control de acceso por fila/miembro de dimensión (DAC), tanto de lectura como de escritura, y cómo se relaciona con los equipos y usuarios. En conexiones Live, se documenta si la seguridad se delega en el sistema origen (p. ej. análisis de autorizaciones de BW/HANA).</w:t>
      </w:r>
    </w:p>
    <w:tbl>
      <w:tblPr>
        <w:tblW w:type="pct" w:w="100%"/>
        <w:tblBorders>
          <w:top w:val="none"/>
          <w:left w:val="single" w:color="0A6ED1" w:sz="24"/>
          <w:bottom w:val="none"/>
          <w:right w:val="none"/>
          <w:insideH w:val="none"/>
          <w:insideV w:val="none"/>
        </w:tblBorders>
      </w:tblPr>
      <w:tblGrid>
        <w:gridCol w:w="140"/>
        <w:gridCol w:w="9520"/>
      </w:tblGrid>
      <w:tr>
        <w:tc>
          <w:tcPr>
            <w:tcW w:type="dxa" w:w="140"/>
            <w:shd w:fill="F2F6FB" w:val="clear"/>
          </w:tcPr>
          <w:p>
            <w:r>
              <w:t xml:space="preserve"/>
            </w:r>
          </w:p>
        </w:tc>
        <w:tc>
          <w:tcPr>
            <w:tcW w:type="dxa" w:w="9520"/>
            <w:shd w:fill="F2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6ED1"/>
                <w:sz w:val="20"/>
                <w:szCs w:val="20"/>
              </w:rPr>
              <w:t xml:space="preserve">Buenas prácticas:  </w:t>
            </w:r>
            <w:r>
              <w:rPr>
                <w:rFonts w:ascii="Calibri" w:cs="Calibri" w:eastAsia="Calibri" w:hAnsi="Calibri"/>
                <w:color w:val="2A3644"/>
                <w:sz w:val="20"/>
                <w:szCs w:val="20"/>
              </w:rPr>
              <w:t xml:space="preserve">Asignar permisos siempre a Teams, nunca a usuarios individuales, para facilitar el mantenimiento y las altas/bajas.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9.4 Matriz de segregación de funciones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Referencia a la matriz completa de roles/autorizaciones [R5] y a los controles de segregación de funciones (SoD) aplicados.</w:t>
      </w:r>
    </w:p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10. Rendimiento y optimización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Buenas prácticas aplicadas en el diseño de historias (número de widgets, consultas por página).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Optimización del modelo/consulta en el origen (Datasphere / HANA / BW).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Uso de Optimized Story Experience / Optimized Design Experience.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Resultados de las pruebas de rendimiento (tiempos de apertura y refresco).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260"/>
        <w:gridCol w:w="2200"/>
        <w:gridCol w:w="2200"/>
        <w:gridCol w:w="2000"/>
      </w:tblGrid>
      <w:tr>
        <w:trPr>
          <w:tblHeader/>
        </w:trPr>
        <w:tc>
          <w:tcPr>
            <w:tcW w:type="dxa" w:w="32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 / App</w:t>
            </w:r>
          </w:p>
        </w:tc>
        <w:tc>
          <w:tcPr>
            <w:tcW w:type="dxa" w:w="2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 de apertura</w:t>
            </w:r>
          </w:p>
        </w:tc>
        <w:tc>
          <w:tcPr>
            <w:tcW w:type="dxa" w:w="2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 de refresco</w:t>
            </w:r>
          </w:p>
        </w:tc>
        <w:tc>
          <w:tcPr>
            <w:tcW w:type="dxa" w:w="20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 (SLA)</w:t>
            </w:r>
          </w:p>
        </w:tc>
      </w:tr>
      <w:tr>
        <w:tc>
          <w:tcPr>
            <w:tcW w:type="dxa" w:w="3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«s»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«s»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&lt; «s»</w:t>
            </w:r>
          </w:p>
        </w:tc>
      </w:tr>
      <w:tr>
        <w:tc>
          <w:tcPr>
            <w:tcW w:type="dxa" w:w="32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«s»</w:t>
            </w:r>
          </w:p>
        </w:tc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«s»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&lt; «s»</w:t>
            </w:r>
          </w:p>
        </w:tc>
      </w:tr>
    </w:tbl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11. Gobierno del dato y calidad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Convenciones de nomenclatura y carpetas / catálogo (Catalog) de contenido.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Ciclo de vida del contenido y propiedad (ownership) de objetos.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Controles de calidad de datos y conciliación con el sistema origen.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Política de comentarios, colaboración y publicación de historias.</w:t>
      </w:r>
    </w:p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12. Transporte y gestión del ciclo de vida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Procedimiento de promoción de contenido entre entornos utilizando Content Network / Transport Management, incluyendo el tratamiento de dependencias (modelos, conexiones) y la gestión de contenido de sistema.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800"/>
        <w:gridCol w:w="4400"/>
        <w:gridCol w:w="2200"/>
        <w:gridCol w:w="2260"/>
      </w:tblGrid>
      <w:tr>
        <w:trPr>
          <w:tblHeader/>
        </w:trPr>
        <w:tc>
          <w:tcPr>
            <w:tcW w:type="dxa" w:w="8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44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2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Exportar paquete de contenido de QA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Content Network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Importar en Producción y remapear conexiones</w:t>
            </w:r>
          </w:p>
        </w:tc>
        <w:tc>
          <w:tcPr>
            <w:tcW w:type="dxa" w:w="2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Content Network</w:t>
            </w:r>
          </w:p>
        </w:tc>
        <w:tc>
          <w:tcPr>
            <w:tcW w:type="dxa" w:w="22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Validación post-transporte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Checklist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</w:tbl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13. Pruebas y validación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13.1 Estrategia de pruebas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Pruebas unitarias de modelos y medidas.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Pruebas de integración de conexiones y cargas.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Pruebas de aceptación de usuario (UAT) y validación de datos.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Pruebas de seguridad (acceso por rol y por fila).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13.2 Resumen de resultados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00"/>
        <w:gridCol w:w="4600"/>
        <w:gridCol w:w="1700"/>
        <w:gridCol w:w="2460"/>
      </w:tblGrid>
      <w:tr>
        <w:trPr>
          <w:tblHeader/>
        </w:trPr>
        <w:tc>
          <w:tcPr>
            <w:tcW w:type="dxa" w:w="9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17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4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Incidencias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TC-01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Refresco de modelo de ventas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OK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TC-02</w:t>
            </w:r>
          </w:p>
        </w:tc>
        <w:tc>
          <w:tcPr>
            <w:tcW w:type="dxa" w:w="4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Acceso restringido por DAC</w:t>
            </w:r>
          </w:p>
        </w:tc>
        <w:tc>
          <w:tcPr>
            <w:tcW w:type="dxa" w:w="1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OK</w:t>
            </w:r>
          </w:p>
        </w:tc>
        <w:tc>
          <w:tcPr>
            <w:tcW w:type="dxa" w:w="2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TC-03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Ciclo de planificación (Data Action)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OK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</w:tbl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14. Operación y mantenimiento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14.1 Tareas recurrentes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800"/>
        <w:gridCol w:w="2400"/>
        <w:gridCol w:w="2460"/>
      </w:tblGrid>
      <w:tr>
        <w:trPr>
          <w:tblHeader/>
        </w:trPr>
        <w:tc>
          <w:tcPr>
            <w:tcW w:type="dxa" w:w="48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4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24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Monitorización de cargas / schedules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Diaria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4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Revisión de conexiones y certificados</w:t>
            </w:r>
          </w:p>
        </w:tc>
        <w:tc>
          <w:tcPr>
            <w:tcW w:type="dxa" w:w="2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Mensual</w:t>
            </w:r>
          </w:p>
        </w:tc>
        <w:tc>
          <w:tcPr>
            <w:tcW w:type="dxa" w:w="2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Gestión de altas/bajas de usuarios y teams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Bajo demanda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4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Revisión de novedades del release trimestral (QRC)</w:t>
            </w:r>
          </w:p>
        </w:tc>
        <w:tc>
          <w:tcPr>
            <w:tcW w:type="dxa" w:w="2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Trimestral</w:t>
            </w:r>
          </w:p>
        </w:tc>
        <w:tc>
          <w:tcPr>
            <w:tcW w:type="dxa" w:w="2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14.2 Gestión de releases de SAC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SAP Analytics Cloud recibe actualizaciones periódicas (ciclo QRC). Se documenta la planificación de revisión de novedades, pruebas de regresión y comunicación de cambios a los usuarios.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14.3 Soporte y escalado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1200"/>
        <w:gridCol w:w="4200"/>
        <w:gridCol w:w="2000"/>
        <w:gridCol w:w="2260"/>
      </w:tblGrid>
      <w:tr>
        <w:trPr>
          <w:tblHeader/>
        </w:trPr>
        <w:tc>
          <w:tcPr>
            <w:tcW w:type="dxa" w:w="1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42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20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Contacto</w:t>
            </w:r>
          </w:p>
        </w:tc>
        <w:tc>
          <w:tcPr>
            <w:tcW w:type="dxa" w:w="22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SLA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N1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Soporte a usuario / accesos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N2</w:t>
            </w:r>
          </w:p>
        </w:tc>
        <w:tc>
          <w:tcPr>
            <w:tcW w:type="dxa" w:w="4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Contenido, modelos y conexiones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22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N3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SAP / consultora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14.4 Copias de seguridad y recuperación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Estrategia de exportación periódica de contenido crítico (Content Network).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Consideraciones de continuidad para modelos de planificación (datos introducidos por usuarios).</w:t>
      </w:r>
    </w:p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15. Riesgos, pendientes y lecciones aprendidas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15.1 Puntos pendientes (backlog)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800"/>
        <w:gridCol w:w="4100"/>
        <w:gridCol w:w="1500"/>
        <w:gridCol w:w="1800"/>
        <w:gridCol w:w="1460"/>
      </w:tblGrid>
      <w:tr>
        <w:trPr>
          <w:tblHeader/>
        </w:trPr>
        <w:tc>
          <w:tcPr>
            <w:tcW w:type="dxa" w:w="8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1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5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8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4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objetivo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P-01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Alta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1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P-02</w:t>
            </w:r>
          </w:p>
        </w:tc>
        <w:tc>
          <w:tcPr>
            <w:tcW w:type="dxa" w:w="41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1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Media</w:t>
            </w:r>
          </w:p>
        </w:tc>
        <w:tc>
          <w:tcPr>
            <w:tcW w:type="dxa" w:w="1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1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15.2 Riesgos identificados</w:t>
      </w:r>
    </w:p>
    <w:tbl>
      <w:tblPr>
        <w:tblW w:type="dxa" w:w="96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400"/>
        <w:gridCol w:w="1600"/>
        <w:gridCol w:w="1800"/>
        <w:gridCol w:w="2860"/>
      </w:tblGrid>
      <w:tr>
        <w:trPr>
          <w:tblHeader/>
        </w:trPr>
        <w:tc>
          <w:tcPr>
            <w:tcW w:type="dxa" w:w="34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6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80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Probabilidad</w:t>
            </w:r>
          </w:p>
        </w:tc>
        <w:tc>
          <w:tcPr>
            <w:tcW w:type="dxa" w:w="2860"/>
            <w:shd w:fill="0A6ED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Alto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Media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  <w:tc>
          <w:tcPr>
            <w:tcW w:type="dxa" w:w="1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Medio</w:t>
            </w:r>
          </w:p>
        </w:tc>
        <w:tc>
          <w:tcPr>
            <w:tcW w:type="dxa" w:w="1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Baja</w:t>
            </w:r>
          </w:p>
        </w:tc>
        <w:tc>
          <w:tcPr>
            <w:tcW w:type="dxa" w:w="28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A3644"/>
                <w:sz w:val="19"/>
                <w:szCs w:val="19"/>
              </w:rPr>
              <w:t xml:space="preserve">«…»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A6ED1"/>
          <w:sz w:val="24"/>
          <w:szCs w:val="24"/>
        </w:rPr>
        <w:t xml:space="preserve">15.3 Lecciones aprendidas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Aspectos que funcionaron bien y conviene repetir.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Dificultades encontradas y recomendaciones para futuras fases.</w:t>
      </w:r>
    </w:p>
    <w:p>
      <w:pPr>
        <w:pStyle w:val="Heading1"/>
        <w:pBdr>
          <w:bottom w:val="single" w:color="C88A00" w:sz="14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D2D44"/>
          <w:sz w:val="30"/>
          <w:szCs w:val="30"/>
        </w:rPr>
        <w:t xml:space="preserve">16. Anexos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Anexo A — Diagramas de arquitectura en alta resolución.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Anexo B — Matriz completa de roles y autorizaciones.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Anexo C — Diccionario de datos y catálogo de medidas.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Anexo D — Manual de usuario / guía rápida.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Anexo E — Actas de pruebas y aceptación (UAT).</w:t>
      </w:r>
    </w:p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C88A00" w:sz="12" w:space="8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— Fin del documento —</w:t>
      </w:r>
    </w:p>
    <w:sectPr>
      <w:headerReference w:type="default" r:id="rId7"/>
      <w:footerReference w:type="default" r:id="rId8"/>
      <w:pgSz w:w="11906" w:h="16838" w:orient="portrait"/>
      <w:pgMar w:top="1240" w:right="1180" w:bottom="12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5" w:sz="4" w:space="6"/>
      </w:pBdr>
      <w:tabs>
        <w:tab w:val="right" w:pos="9660"/>
      </w:tabs>
      <w:spacing w:before="40"/>
    </w:pPr>
    <w:r>
      <w:rPr>
        <w:rFonts w:ascii="Calibri" w:cs="Calibri" w:eastAsia="Calibri" w:hAnsi="Calibri"/>
        <w:color w:val="5B6B7B"/>
        <w:sz w:val="15"/>
        <w:szCs w:val="15"/>
      </w:rPr>
      <w:t xml:space="preserve">«Cliente» · «Proyecto»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B6B7B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C88A00" w:sz="6"/>
        <w:right w:val="none"/>
        <w:insideH w:val="none"/>
        <w:insideV w:val="none"/>
      </w:tblBorders>
    </w:tblPr>
    <w:tblGrid>
      <w:gridCol w:w="6000"/>
      <w:gridCol w:w="3660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  <w:tcMar>
            <w:bottom w:type="dxa" w:w="60"/>
          </w:tcMar>
        </w:tcPr>
        <w:p>
          <w:pPr>
            <w:spacing w:after="0"/>
          </w:pPr>
          <w:r>
            <w:rPr>
              <w:rFonts w:ascii="Calibri" w:cs="Calibri" w:eastAsia="Calibri" w:hAnsi="Calibri"/>
              <w:b/>
              <w:bCs/>
              <w:color w:val="1D2D44"/>
              <w:sz w:val="15"/>
              <w:szCs w:val="15"/>
            </w:rPr>
            <w:t xml:space="preserve">SAP Analytics Cloud — Documento Técnico de Entrega</w:t>
          </w:r>
        </w:p>
      </w:tc>
      <w:tc>
        <w:tcPr>
          <w:tcW w:type="dxa" w:w="3660"/>
          <w:tcBorders>
            <w:top w:val="none"/>
            <w:left w:val="none"/>
            <w:bottom w:val="none"/>
            <w:right w:val="none"/>
          </w:tcBorders>
          <w:tcMar>
            <w:bottom w:type="dxa" w:w="60"/>
          </w:tcMar>
        </w:tcPr>
        <w:p>
          <w:pPr>
            <w:spacing w:after="0"/>
            <w:jc w:val="right"/>
          </w:pPr>
          <w:r>
            <w:rPr>
              <w:rFonts w:ascii="Calibri" w:cs="Calibri" w:eastAsia="Calibri" w:hAnsi="Calibri"/>
              <w:i/>
              <w:iCs/>
              <w:color w:val="5B6B7B"/>
              <w:sz w:val="14"/>
              <w:szCs w:val="14"/>
            </w:rPr>
            <w:t xml:space="preserve">Confidencial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A6ED1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A6ED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de Entrega — SAP Analytics Cloud</dc:title>
  <dc:creator>Equipo de Consultoría SAC</dc:creator>
  <dc:description>Plantilla de documentación técnica post-implementación de SAP Analytics Cloud</dc:description>
  <cp:lastModifiedBy>Un-named</cp:lastModifiedBy>
  <cp:revision>1</cp:revision>
  <dcterms:created xsi:type="dcterms:W3CDTF">2026-08-19T13:28:06.759Z</dcterms:created>
  <dcterms:modified xsi:type="dcterms:W3CDTF">2026-08-19T13:28:06.759Z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