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Аудит Bitrix24: воронки, сделки, автоматизации</w:t>
      </w:r>
    </w:p>
    <w:p>
      <w:r>
        <w:t>Дата подготовки: 2026-05-01 11:02 МСК</w:t>
      </w:r>
    </w:p>
    <w:p>
      <w:pPr>
        <w:pStyle w:val="Heading1"/>
      </w:pPr>
      <w:r>
        <w:t>1. Краткий вывод</w:t>
      </w:r>
    </w:p>
    <w:p>
      <w:pPr>
        <w:pStyle w:val="ListBullet"/>
      </w:pPr>
      <w:r>
        <w:t>В CRM найдено 9 сделочных воронок и 9493 сделок, из них 6943 открытых.</w:t>
      </w:r>
    </w:p>
    <w:p>
      <w:pPr>
        <w:pStyle w:val="ListBullet"/>
      </w:pPr>
      <w:r>
        <w:t>Система используется активно, но коммерческий контур смешан с аккаунтингом, retention, delivery, архивами и техническими процессами.</w:t>
      </w:r>
    </w:p>
    <w:p>
      <w:pPr>
        <w:pStyle w:val="ListBullet"/>
      </w:pPr>
      <w:r>
        <w:t>Ключевые операционные риски: 6889 активных сделок без будущей активности, 51 сделок с просроченными активностями, 1476 сделок без источника, 1512 проигранных сделок без причины отказа.</w:t>
      </w:r>
    </w:p>
    <w:p>
      <w:pPr>
        <w:pStyle w:val="ListBullet"/>
      </w:pPr>
      <w:r>
        <w:t>Самый большой управленческий риск: часть стадий и воронок описывает не бизнес-решение клиента, а внутреннее состояние, архив или сегмент базы.</w:t>
      </w:r>
    </w:p>
    <w:p>
      <w:pPr>
        <w:pStyle w:val="Heading1"/>
      </w:pPr>
      <w:r>
        <w:t>2. Список воронок</w:t>
      </w:r>
    </w:p>
    <w:tbl>
      <w:tblPr>
        <w:tblStyle w:val="Отчетнаятаблица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c>
          <w:tcPr>
            <w:tcW w:type="dxa" w:w="2375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Воронка</w:t>
            </w:r>
          </w:p>
        </w:tc>
        <w:tc>
          <w:tcPr>
            <w:tcW w:type="dxa" w:w="2375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Назначение</w:t>
            </w:r>
          </w:p>
        </w:tc>
        <w:tc>
          <w:tcPr>
            <w:tcW w:type="dxa" w:w="2375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Количество этапов</w:t>
            </w:r>
          </w:p>
        </w:tc>
        <w:tc>
          <w:tcPr>
            <w:tcW w:type="dxa" w:w="2375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Активность</w:t>
            </w:r>
          </w:p>
        </w:tc>
        <w:tc>
          <w:tcPr>
            <w:tcW w:type="dxa" w:w="2375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Основные проблемы</w:t>
            </w:r>
          </w:p>
        </w:tc>
        <w:tc>
          <w:tcPr>
            <w:tcW w:type="dxa" w:w="2375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Реанимация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реактивация базы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активная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много открытых; мертвые этапы: 1; без источника: 924; без след. шага: 5742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создано 3м/6м/год: 1876/3773/1912</w:t>
            </w:r>
          </w:p>
        </w:tc>
      </w:tr>
      <w:tr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Телемаркетинг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первичный обзвон / SDR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активная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без источника: 96; без след. шага: 567; возвраты назад: 807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создано 3м/6м/год: 1416/1814/1425</w:t>
            </w:r>
          </w:p>
        </w:tc>
      </w:tr>
      <w:tr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Продажи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new business продажи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активная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без след. шага: 31; возвраты назад: 129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создано 3м/6м/год: 210/265/224</w:t>
            </w:r>
          </w:p>
        </w:tc>
      </w:tr>
      <w:tr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Retention — Отвалы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retention / возврат клиентов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активная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много открытых; мертвые этапы: 6; без источника: 95; без след. шага: 302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создано 3м/6м/год: 20/56/31</w:t>
            </w:r>
          </w:p>
        </w:tc>
      </w:tr>
      <w:tr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Аккаунтинг NEW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аккаунтинг / развитие клиентов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активная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без источника: 146; без след. шага: 27; возвраты назад: 19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создано 3м/6м/год: 44/71/50</w:t>
            </w:r>
          </w:p>
        </w:tc>
      </w:tr>
      <w:tr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Аккаунтинг OLD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аккаунтинг / развитие клиентов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активная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без источника: 101; без след. шага: 135; возвраты назад: 7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создано 3м/6м/год: 21/56/32</w:t>
            </w:r>
          </w:p>
        </w:tc>
      </w:tr>
      <w:tr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Проекты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delivery / проекты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активная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без источника: 108; без след. шага: 51; возвраты назад: 2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создано 3м/6м/год: 11/23/14</w:t>
            </w:r>
          </w:p>
        </w:tc>
      </w:tr>
      <w:tr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Retention — Оплачено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retention / возврат клиентов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активная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много открытых; мертвые этапы: 7; без источника: 6; без след. шага: 34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создано 3м/6м/год: 6/22/12</w:t>
            </w:r>
          </w:p>
        </w:tc>
      </w:tr>
      <w:tr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Общая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требует подтверждения owner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не используется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критичных признаков не видно</w:t>
            </w:r>
          </w:p>
        </w:tc>
        <w:tc>
          <w:tcPr>
            <w:tcW w:type="dxa" w:w="23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создано 3м/6м/год: 0/0/0</w:t>
            </w:r>
          </w:p>
        </w:tc>
      </w:tr>
    </w:tbl>
    <w:p/>
    <w:p>
      <w:pPr>
        <w:pStyle w:val="Heading1"/>
      </w:pPr>
      <w:r>
        <w:t>3. Движение сделок</w:t>
      </w:r>
    </w:p>
    <w:p>
      <w:pPr>
        <w:pStyle w:val="Heading2"/>
      </w:pPr>
      <w:r>
        <w:t>Реанимация</w:t>
      </w:r>
    </w:p>
    <w:p>
      <w:pPr>
        <w:pStyle w:val="ListBullet"/>
      </w:pPr>
      <w:r>
        <w:t>Сделок всего: 5878, открытых: 5755, создано за 3 месяца: 1876, за 6 месяцев: 3773, с начала 2026 года: 1912.</w:t>
      </w:r>
    </w:p>
    <w:p>
      <w:pPr>
        <w:pStyle w:val="ListBullet"/>
      </w:pPr>
      <w:r>
        <w:t>Выиграно: 0, проиграно: 123.</w:t>
      </w:r>
    </w:p>
    <w:p>
      <w:pPr>
        <w:pStyle w:val="ListBullet"/>
      </w:pPr>
      <w:r>
        <w:t>Возвраты назад: 2011 событий по 2003 сделкам; переходы между воронками по истории стадий: 102 событий по 102 сделкам.</w:t>
      </w:r>
    </w:p>
    <w:p>
      <w:pPr>
        <w:pStyle w:val="ListBullet"/>
      </w:pPr>
      <w:r>
        <w:t>Текущие накопители: ПРОДАЖИ: Отвалы (1866), База для реанимации (1800), ЛИДЫ: Отвалы (1567), ЛИДЫ: Действующий клиент (163), АРХИВ Общая (119).</w:t>
      </w:r>
    </w:p>
    <w:p>
      <w:pPr>
        <w:pStyle w:val="ListBullet"/>
      </w:pPr>
      <w:r>
        <w:t>Максимальные зависания по медиане: База для реанимации - 148.8 дн., ЛИДЫ: База бывших клиентов - 72.8 дн., ПРОДАЖИ: Не сейчас - 70.8 дн., ПРОДАЖИ: Запрос цены - 70.8 дн., ПРОДАЖИ: Отвалы - 70.8 дн..</w:t>
      </w:r>
    </w:p>
    <w:p>
      <w:pPr>
        <w:pStyle w:val="ListBullet"/>
      </w:pPr>
      <w:r>
        <w:t>Неиспользуемые/слабо используемые этапы: Выбрали другую компанию, Перенести в воронку Продажи, Дубль.</w:t>
      </w:r>
    </w:p>
    <w:p>
      <w:pPr>
        <w:pStyle w:val="Heading2"/>
      </w:pPr>
      <w:r>
        <w:t>Телемаркетинг</w:t>
      </w:r>
    </w:p>
    <w:p>
      <w:pPr>
        <w:pStyle w:val="ListBullet"/>
      </w:pPr>
      <w:r>
        <w:t>Сделок всего: 1967, открытых: 567, создано за 3 месяца: 1416, за 6 месяцев: 1814, с начала 2026 года: 1425.</w:t>
      </w:r>
    </w:p>
    <w:p>
      <w:pPr>
        <w:pStyle w:val="ListBullet"/>
      </w:pPr>
      <w:r>
        <w:t>Выиграно: 0, проиграно: 1400.</w:t>
      </w:r>
    </w:p>
    <w:p>
      <w:pPr>
        <w:pStyle w:val="ListBullet"/>
      </w:pPr>
      <w:r>
        <w:t>Возвраты назад: 1940 событий по 807 сделкам; переходы между воронками по истории стадий: 947 событий по 902 сделкам.</w:t>
      </w:r>
    </w:p>
    <w:p>
      <w:pPr>
        <w:pStyle w:val="ListBullet"/>
      </w:pPr>
      <w:r>
        <w:t>Текущие накопители: ОТВАЛ (1250), К обзвону (534), ОТЛОЖЕНО (150), Взято в работу (30), Встреча назначена (3).</w:t>
      </w:r>
    </w:p>
    <w:p>
      <w:pPr>
        <w:pStyle w:val="ListBullet"/>
      </w:pPr>
      <w:r>
        <w:t>Максимальные зависания по медиане: К обзвону - 22.8 дн., ОТВАЛ - 6.0 дн., Встреча назначена - 1.0 дн., ОТЛОЖЕНО - 0.7 дн., Взято в работу - 0.3 дн..</w:t>
      </w:r>
    </w:p>
    <w:p>
      <w:pPr>
        <w:pStyle w:val="Heading2"/>
      </w:pPr>
      <w:r>
        <w:t>Продажи</w:t>
      </w:r>
    </w:p>
    <w:p>
      <w:pPr>
        <w:pStyle w:val="ListBullet"/>
      </w:pPr>
      <w:r>
        <w:t>Сделок всего: 642, открытых: 47, создано за 3 месяца: 210, за 6 месяцев: 265, с начала 2026 года: 224.</w:t>
      </w:r>
    </w:p>
    <w:p>
      <w:pPr>
        <w:pStyle w:val="ListBullet"/>
      </w:pPr>
      <w:r>
        <w:t>Выиграно: 377, проиграно: 218.</w:t>
      </w:r>
    </w:p>
    <w:p>
      <w:pPr>
        <w:pStyle w:val="ListBullet"/>
      </w:pPr>
      <w:r>
        <w:t>Возвраты назад: 348 событий по 129 сделкам; переходы между воронками по истории стадий: 81 событий по 66 сделкам.</w:t>
      </w:r>
    </w:p>
    <w:p>
      <w:pPr>
        <w:pStyle w:val="ListBullet"/>
      </w:pPr>
      <w:r>
        <w:t>Текущие накопители: УСПЕХ (377), ОТВАЛ (176), ОТЛОЖЕНО (42), Подготовка КП (25), Догрев и переговоры (10).</w:t>
      </w:r>
    </w:p>
    <w:p>
      <w:pPr>
        <w:pStyle w:val="ListBullet"/>
      </w:pPr>
      <w:r>
        <w:t>Максимальные зависания по медиане: Подготовка КП - 9.8 дн., Догрев и переговоры - 7.9 дн., ОТЛОЖЕНО - 7.3 дн., УСПЕХ - 7.0 дн., Подготовка БРИФа - 1.8 дн..</w:t>
      </w:r>
    </w:p>
    <w:p>
      <w:pPr>
        <w:pStyle w:val="Heading2"/>
      </w:pPr>
      <w:r>
        <w:t>Retention — Отвалы</w:t>
      </w:r>
    </w:p>
    <w:p>
      <w:pPr>
        <w:pStyle w:val="ListBullet"/>
      </w:pPr>
      <w:r>
        <w:t>Сделок всего: 307, открытых: 302, создано за 3 месяца: 20, за 6 месяцев: 56, с начала 2026 года: 31.</w:t>
      </w:r>
    </w:p>
    <w:p>
      <w:pPr>
        <w:pStyle w:val="ListBullet"/>
      </w:pPr>
      <w:r>
        <w:t>Выиграно: 0, проиграно: 5.</w:t>
      </w:r>
    </w:p>
    <w:p>
      <w:pPr>
        <w:pStyle w:val="ListBullet"/>
      </w:pPr>
      <w:r>
        <w:t>Возвраты назад: 0 событий по 0 сделкам; переходы между воронками по истории стадий: 0 событий по 0 сделкам.</w:t>
      </w:r>
    </w:p>
    <w:p>
      <w:pPr>
        <w:pStyle w:val="ListBullet"/>
      </w:pPr>
      <w:r>
        <w:t>Текущие накопители: Новый отвал — Отвал (167), Новый отвал — Оплачено (86), Отстойник 3-6 мес (45), Сделка провалена (5), Определение потребностей + Бриф (4).</w:t>
      </w:r>
    </w:p>
    <w:p>
      <w:pPr>
        <w:pStyle w:val="ListBullet"/>
      </w:pPr>
      <w:r>
        <w:t>Максимальные зависания по медиане: Новый отвал — Отвал - 108.8 дн..</w:t>
      </w:r>
    </w:p>
    <w:p>
      <w:pPr>
        <w:pStyle w:val="ListBullet"/>
      </w:pPr>
      <w:r>
        <w:t>Неиспользуемые/слабо используемые этапы: Новый отвал — В работе, КП +защита, Принятие решения, Доки + Оплата, Сделка успешна, Анализ причины провала.</w:t>
      </w:r>
    </w:p>
    <w:p>
      <w:pPr>
        <w:pStyle w:val="Heading2"/>
      </w:pPr>
      <w:r>
        <w:t>Аккаунтинг NEW</w:t>
      </w:r>
    </w:p>
    <w:p>
      <w:pPr>
        <w:pStyle w:val="ListBullet"/>
      </w:pPr>
      <w:r>
        <w:t>Сделок всего: 293, открытых: 47, создано за 3 месяца: 44, за 6 месяцев: 71, с начала 2026 года: 50.</w:t>
      </w:r>
    </w:p>
    <w:p>
      <w:pPr>
        <w:pStyle w:val="ListBullet"/>
      </w:pPr>
      <w:r>
        <w:t>Выиграно: 88, проиграно: 158.</w:t>
      </w:r>
    </w:p>
    <w:p>
      <w:pPr>
        <w:pStyle w:val="ListBullet"/>
      </w:pPr>
      <w:r>
        <w:t>Возвраты назад: 20 событий по 19 сделкам; переходы между воронками по истории стадий: 0 событий по 0 сделкам.</w:t>
      </w:r>
    </w:p>
    <w:p>
      <w:pPr>
        <w:pStyle w:val="ListBullet"/>
      </w:pPr>
      <w:r>
        <w:t>Текущие накопители: Отказ — Ушел окончательно (141), Передача клиента (88), Отказ — Ушел частично (17), Принимают решение (16), Определение потребности (14).</w:t>
      </w:r>
    </w:p>
    <w:p>
      <w:pPr>
        <w:pStyle w:val="ListBullet"/>
      </w:pPr>
      <w:r>
        <w:t>Максимальные зависания по медиане: Отложенный спрос - 42.1 дн., Согласование договора - 22.0 дн., Принимают решение - 20.9 дн., Подготовка КП - 11.0 дн., Защита КП (Встреча) - 6.9 дн..</w:t>
      </w:r>
    </w:p>
    <w:p>
      <w:pPr>
        <w:pStyle w:val="Heading2"/>
      </w:pPr>
      <w:r>
        <w:t>Аккаунтинг OLD</w:t>
      </w:r>
    </w:p>
    <w:p>
      <w:pPr>
        <w:pStyle w:val="ListBullet"/>
      </w:pPr>
      <w:r>
        <w:t>Сделок всего: 264, открытых: 136, создано за 3 месяца: 21, за 6 месяцев: 56, с начала 2026 года: 32.</w:t>
      </w:r>
    </w:p>
    <w:p>
      <w:pPr>
        <w:pStyle w:val="ListBullet"/>
      </w:pPr>
      <w:r>
        <w:t>Выиграно: 31, проиграно: 97.</w:t>
      </w:r>
    </w:p>
    <w:p>
      <w:pPr>
        <w:pStyle w:val="ListBullet"/>
      </w:pPr>
      <w:r>
        <w:t>Возвраты назад: 7 событий по 7 сделкам; переходы между воронками по истории стадий: 1 событий по 1 сделкам.</w:t>
      </w:r>
    </w:p>
    <w:p>
      <w:pPr>
        <w:pStyle w:val="ListBullet"/>
      </w:pPr>
      <w:r>
        <w:t>Текущие накопители: В работе (123), Отвал — Ушел окончательно (88), Отвал —Оплачено (31), Новый проект (13), Отвал — Ушел частично (9).</w:t>
      </w:r>
    </w:p>
    <w:p>
      <w:pPr>
        <w:pStyle w:val="ListBullet"/>
      </w:pPr>
      <w:r>
        <w:t>Максимальные зависания по медиане: В работе - 95.0 дн., Отвал — Ушел окончательно - 30.0 дн., Новый проект - 3.1 дн., Отвал —Оплачено - 0.8 дн., Отложено - 0.0 дн..</w:t>
      </w:r>
    </w:p>
    <w:p>
      <w:pPr>
        <w:pStyle w:val="Heading2"/>
      </w:pPr>
      <w:r>
        <w:t>Проекты</w:t>
      </w:r>
    </w:p>
    <w:p>
      <w:pPr>
        <w:pStyle w:val="ListBullet"/>
      </w:pPr>
      <w:r>
        <w:t>Сделок всего: 108, открытых: 55, создано за 3 месяца: 11, за 6 месяцев: 23, с начала 2026 года: 14.</w:t>
      </w:r>
    </w:p>
    <w:p>
      <w:pPr>
        <w:pStyle w:val="ListBullet"/>
      </w:pPr>
      <w:r>
        <w:t>Выиграно: 53, проиграно: 0.</w:t>
      </w:r>
    </w:p>
    <w:p>
      <w:pPr>
        <w:pStyle w:val="ListBullet"/>
      </w:pPr>
      <w:r>
        <w:t>Возвраты назад: 8 событий по 2 сделкам; переходы между воронками по истории стадий: 0 событий по 0 сделкам.</w:t>
      </w:r>
    </w:p>
    <w:p>
      <w:pPr>
        <w:pStyle w:val="ListBullet"/>
      </w:pPr>
      <w:r>
        <w:t>Текущие накопители: ОТВАЛ (53), 2+ цикл (41), Первый цикл (11), Создание группы (3).</w:t>
      </w:r>
    </w:p>
    <w:p>
      <w:pPr>
        <w:pStyle w:val="ListBullet"/>
      </w:pPr>
      <w:r>
        <w:t>Максимальные зависания по медиане: 2+ цикл - 83.9 дн., Первый цикл - 27.1 дн., Сделка провалена - 10.0 дн., Создание группы - 2.5 дн., Новый проект - 0.0 дн..</w:t>
      </w:r>
    </w:p>
    <w:p>
      <w:pPr>
        <w:pStyle w:val="ListBullet"/>
      </w:pPr>
      <w:r>
        <w:t>Неиспользуемые/слабо используемые этапы: Сделка провалена.</w:t>
      </w:r>
    </w:p>
    <w:p>
      <w:pPr>
        <w:pStyle w:val="Heading2"/>
      </w:pPr>
      <w:r>
        <w:t>Retention — Оплачено</w:t>
      </w:r>
    </w:p>
    <w:p>
      <w:pPr>
        <w:pStyle w:val="ListBullet"/>
      </w:pPr>
      <w:r>
        <w:t>Сделок всего: 34, открытых: 34, создано за 3 месяца: 6, за 6 месяцев: 22, с начала 2026 года: 12.</w:t>
      </w:r>
    </w:p>
    <w:p>
      <w:pPr>
        <w:pStyle w:val="ListBullet"/>
      </w:pPr>
      <w:r>
        <w:t>Выиграно: 0, проиграно: 0.</w:t>
      </w:r>
    </w:p>
    <w:p>
      <w:pPr>
        <w:pStyle w:val="ListBullet"/>
      </w:pPr>
      <w:r>
        <w:t>Возвраты назад: 0 событий по 0 сделкам; переходы между воронками по истории стадий: 0 событий по 0 сделкам.</w:t>
      </w:r>
    </w:p>
    <w:p>
      <w:pPr>
        <w:pStyle w:val="ListBullet"/>
      </w:pPr>
      <w:r>
        <w:t>Текущие накопители: Новая (34).</w:t>
      </w:r>
    </w:p>
    <w:p>
      <w:pPr>
        <w:pStyle w:val="ListBullet"/>
      </w:pPr>
      <w:r>
        <w:t>Максимальные зависания по медиане: Новая - 107.0 дн..</w:t>
      </w:r>
    </w:p>
    <w:p>
      <w:pPr>
        <w:pStyle w:val="ListBullet"/>
      </w:pPr>
      <w:r>
        <w:t>Неиспользуемые/слабо используемые этапы: Подготовка документов, Cчёт на предоплату, В работе, Финальный счёт, Сделка успешна, Сделка провалена.</w:t>
      </w:r>
    </w:p>
    <w:p>
      <w:pPr>
        <w:pStyle w:val="Heading2"/>
      </w:pPr>
      <w:r>
        <w:t>Общая</w:t>
      </w:r>
    </w:p>
    <w:p>
      <w:pPr>
        <w:pStyle w:val="ListBullet"/>
      </w:pPr>
      <w:r>
        <w:t>Сделок всего: 0, открытых: 0, создано за 3 месяца: 0, за 6 месяцев: 0, с начала 2026 года: 0.</w:t>
      </w:r>
    </w:p>
    <w:p>
      <w:pPr>
        <w:pStyle w:val="ListBullet"/>
      </w:pPr>
      <w:r>
        <w:t>Выиграно: 0, проиграно: 0.</w:t>
      </w:r>
    </w:p>
    <w:p>
      <w:pPr>
        <w:pStyle w:val="ListBullet"/>
      </w:pPr>
      <w:r>
        <w:t>Возвраты назад: 0 событий по 0 сделкам; переходы между воронками по истории стадий: 0 событий по 0 сделкам.</w:t>
      </w:r>
    </w:p>
    <w:p>
      <w:pPr>
        <w:pStyle w:val="ListBullet"/>
      </w:pPr>
      <w:r>
        <w:t>Текущие накопители: нет данных.</w:t>
      </w:r>
    </w:p>
    <w:p>
      <w:pPr>
        <w:pStyle w:val="ListBullet"/>
      </w:pPr>
      <w:r>
        <w:t>Максимальные зависания по медиане: нет данных.</w:t>
      </w:r>
    </w:p>
    <w:p>
      <w:pPr>
        <w:pStyle w:val="Heading1"/>
      </w:pPr>
      <w:r>
        <w:t>4. Источники и причины отказов</w:t>
      </w:r>
    </w:p>
    <w:p>
      <w:pPr>
        <w:pStyle w:val="ListBullet"/>
      </w:pPr>
      <w:r>
        <w:t>В справочнике источников: 24 значений.</w:t>
      </w:r>
    </w:p>
    <w:p>
      <w:pPr>
        <w:pStyle w:val="ListBullet"/>
      </w:pPr>
      <w:r>
        <w:t>В справочнике причин отказа по полю UF_CRM_1771495464: 9 значений.</w:t>
      </w:r>
    </w:p>
    <w:p>
      <w:pPr>
        <w:pStyle w:val="ListBullet"/>
      </w:pPr>
      <w:r>
        <w:t>Сделок без источника: 1476; сделок с общими источниками типа прочее/не выяснено: 1896.</w:t>
      </w:r>
    </w:p>
    <w:p>
      <w:pPr>
        <w:pStyle w:val="ListBullet"/>
      </w:pPr>
      <w:r>
        <w:t>Проигранных сделок без причины отказа: 1512.</w:t>
      </w:r>
    </w:p>
    <w:p>
      <w:pPr>
        <w:pStyle w:val="ListBullet"/>
      </w:pPr>
      <w:r>
        <w:t>Спам нужно исключать из маркетинговых конверсий отдельным правилом: это не коммерческий отказ и не качество канала продаж.</w:t>
      </w:r>
    </w:p>
    <w:p>
      <w:pPr>
        <w:pStyle w:val="ListBullet"/>
      </w:pPr>
      <w:r>
        <w:t>Первичный маркетинговый источник нельзя перезаписывать внутренними источниками вроде телемаркетинга. Для внутреннего канала обработки нужно отдельное поле канал обработки/команда, а не замена SOURCE_ID.</w:t>
      </w:r>
    </w:p>
    <w:tbl>
      <w:tblPr>
        <w:tblStyle w:val="Отчетнаятаблица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7126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Воронка</w:t>
            </w:r>
          </w:p>
        </w:tc>
        <w:tc>
          <w:tcPr>
            <w:tcW w:type="dxa" w:w="7126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Топ источников</w:t>
            </w:r>
          </w:p>
        </w:tc>
      </w:tr>
      <w:tr>
        <w:tc>
          <w:tcPr>
            <w:tcW w:type="dxa" w:w="712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Общая</w:t>
            </w:r>
          </w:p>
        </w:tc>
        <w:tc>
          <w:tcPr>
            <w:tcW w:type="dxa" w:w="712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12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Проекты</w:t>
            </w:r>
          </w:p>
        </w:tc>
        <w:tc>
          <w:tcPr>
            <w:tcW w:type="dxa" w:w="712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Без источника (108)</w:t>
            </w:r>
          </w:p>
        </w:tc>
      </w:tr>
      <w:tr>
        <w:tc>
          <w:tcPr>
            <w:tcW w:type="dxa" w:w="712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Продажи</w:t>
            </w:r>
          </w:p>
        </w:tc>
        <w:tc>
          <w:tcPr>
            <w:tcW w:type="dxa" w:w="712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Холодный звонок (120), Не выяснено (112), SEO (106), Контекстная реклама (98), Телемаркетинг (49)</w:t>
            </w:r>
          </w:p>
        </w:tc>
      </w:tr>
      <w:tr>
        <w:tc>
          <w:tcPr>
            <w:tcW w:type="dxa" w:w="712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Телемаркетинг</w:t>
            </w:r>
          </w:p>
        </w:tc>
        <w:tc>
          <w:tcPr>
            <w:tcW w:type="dxa" w:w="712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Холодный звонок (1094), Контекстная реклама (268), SEO (126), Без источника (96), Рекомендация аккаунта (78)</w:t>
            </w:r>
          </w:p>
        </w:tc>
      </w:tr>
      <w:tr>
        <w:tc>
          <w:tcPr>
            <w:tcW w:type="dxa" w:w="712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Реанимация</w:t>
            </w:r>
          </w:p>
        </w:tc>
        <w:tc>
          <w:tcPr>
            <w:tcW w:type="dxa" w:w="712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Холодный звонок (2001), Контекстная реклама (970), Без источника (924), SEO (628), Рекомендация аккаунта (344)</w:t>
            </w:r>
          </w:p>
        </w:tc>
      </w:tr>
      <w:tr>
        <w:tc>
          <w:tcPr>
            <w:tcW w:type="dxa" w:w="712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Аккаунтинг OLD</w:t>
            </w:r>
          </w:p>
        </w:tc>
        <w:tc>
          <w:tcPr>
            <w:tcW w:type="dxa" w:w="712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Без источника (101), Развитие клиента (26), Личный контакт (26), Холодный звонок (25), Контекстная реклама (21)</w:t>
            </w:r>
          </w:p>
        </w:tc>
      </w:tr>
      <w:tr>
        <w:tc>
          <w:tcPr>
            <w:tcW w:type="dxa" w:w="712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Аккаунтинг NEW</w:t>
            </w:r>
          </w:p>
        </w:tc>
        <w:tc>
          <w:tcPr>
            <w:tcW w:type="dxa" w:w="712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Без источника (146), Развитие клиента (63), Рекомендация аккаунта (19), Рекомендация Клиента (17), Личный контакт (17)</w:t>
            </w:r>
          </w:p>
        </w:tc>
      </w:tr>
      <w:tr>
        <w:tc>
          <w:tcPr>
            <w:tcW w:type="dxa" w:w="712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Retention — Отвалы</w:t>
            </w:r>
          </w:p>
        </w:tc>
        <w:tc>
          <w:tcPr>
            <w:tcW w:type="dxa" w:w="712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Без источника (95), Контекстная реклама (47), Холодный звонок (46), SEO (37), Рекомендация аккаунта (20)</w:t>
            </w:r>
          </w:p>
        </w:tc>
      </w:tr>
      <w:tr>
        <w:tc>
          <w:tcPr>
            <w:tcW w:type="dxa" w:w="712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Retention — Оплачено</w:t>
            </w:r>
          </w:p>
        </w:tc>
        <w:tc>
          <w:tcPr>
            <w:tcW w:type="dxa" w:w="712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Без источника (6), Контекстная реклама (6), SEO (6), Личный контакт (4), Холодный звонок (3)</w:t>
            </w:r>
          </w:p>
        </w:tc>
      </w:tr>
    </w:tbl>
    <w:p/>
    <w:tbl>
      <w:tblPr>
        <w:tblStyle w:val="Отчетнаятаблица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Воронка</w:t>
            </w:r>
          </w:p>
        </w:tc>
        <w:tc>
          <w:tcPr>
            <w:tcW w:type="dxa" w:w="3563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Без причины</w:t>
            </w:r>
          </w:p>
        </w:tc>
        <w:tc>
          <w:tcPr>
            <w:tcW w:type="dxa" w:w="3563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Спам</w:t>
            </w:r>
          </w:p>
        </w:tc>
        <w:tc>
          <w:tcPr>
            <w:tcW w:type="dxa" w:w="3563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Топ причин</w:t>
            </w:r>
          </w:p>
        </w:tc>
      </w:tr>
      <w:tr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Продажи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СПАМ (68), Нет связи (38), Без причины (36), Передумали / Неактуально (27), Нехватка бюджета / Нет финмодели / Не посчитан UNIT (17)</w:t>
            </w:r>
          </w:p>
        </w:tc>
      </w:tr>
      <w:tr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Телемаркетинг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1106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Без причины (1106), Нет связи (139), Ушли к конкурентам (53), Передумали / Неактуально (48), Нет такой услуги / Не можем технически реализовать (31)</w:t>
            </w:r>
          </w:p>
        </w:tc>
      </w:tr>
      <w:tr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Реанимация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Без причины (110), Нет связи (7), Передумали / Неактуально (4), Ушли к конкурентам (1), СПАМ (1)</w:t>
            </w:r>
          </w:p>
        </w:tc>
      </w:tr>
      <w:tr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Аккаунтинг OLD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Без причины (97)</w:t>
            </w:r>
          </w:p>
        </w:tc>
      </w:tr>
      <w:tr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Аккаунтинг NEW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158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Без причины (158)</w:t>
            </w:r>
          </w:p>
        </w:tc>
      </w:tr>
      <w:tr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Retention — Отвалы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Без причины (5)</w:t>
            </w:r>
          </w:p>
        </w:tc>
      </w:tr>
    </w:tbl>
    <w:p/>
    <w:p>
      <w:pPr>
        <w:pStyle w:val="Heading1"/>
      </w:pPr>
      <w:r>
        <w:t>5. Поля и качество заполнения</w:t>
      </w:r>
    </w:p>
    <w:tbl>
      <w:tblPr>
        <w:tblStyle w:val="Отчетнаятаблица"/>
        <w:tblW w:type="auto" w:w="0"/>
        <w:jc w:val="center"/>
        <w:tblLook w:firstColumn="1" w:firstRow="1" w:lastColumn="0" w:lastRow="0" w:noHBand="0" w:noVBand="1" w:val="04A0"/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2850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Воронка</w:t>
            </w:r>
          </w:p>
        </w:tc>
        <w:tc>
          <w:tcPr>
            <w:tcW w:type="dxa" w:w="2850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Без компании</w:t>
            </w:r>
          </w:p>
        </w:tc>
        <w:tc>
          <w:tcPr>
            <w:tcW w:type="dxa" w:w="2850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Без суммы</w:t>
            </w:r>
          </w:p>
        </w:tc>
        <w:tc>
          <w:tcPr>
            <w:tcW w:type="dxa" w:w="2850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Без источника</w:t>
            </w:r>
          </w:p>
        </w:tc>
        <w:tc>
          <w:tcPr>
            <w:tcW w:type="dxa" w:w="2850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Проиграно без причины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Общая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Проекты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Продажи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194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36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Телемаркетинг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158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1591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1106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Реанимация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962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4676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924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110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Аккаунтинг OLD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97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Аккаунтинг NEW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158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Retention — Отвалы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Retention — Оплачено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ListBullet"/>
      </w:pPr>
      <w:r>
        <w:t>Обязательными по ключевым переходам стоит сделать: компания/контакт, сумма, источник, услуга/направление, следующий шаг, дата следующего контакта, причина отказа для проигрыша.</w:t>
      </w:r>
    </w:p>
    <w:p>
      <w:pPr>
        <w:pStyle w:val="ListBullet"/>
      </w:pPr>
      <w:r>
        <w:t>Перед включением обязательности нужно проверить роботов и карточки в интерфейсе, чтобы не заблокировать рабочий процесс на исторических карточках.</w:t>
      </w:r>
    </w:p>
    <w:p>
      <w:pPr>
        <w:pStyle w:val="Heading1"/>
      </w:pPr>
      <w:r>
        <w:t>6. Задачи и следующий шаг</w:t>
      </w:r>
    </w:p>
    <w:p>
      <w:pPr>
        <w:pStyle w:val="ListBullet"/>
      </w:pPr>
      <w:r>
        <w:t>Активности выгружены за период с 2025-09-23 11:02; типов/провайдеров активности найдено: 10.</w:t>
      </w:r>
    </w:p>
    <w:p>
      <w:pPr>
        <w:pStyle w:val="ListBullet"/>
      </w:pPr>
      <w:r>
        <w:t>Активные сделки без будущей активности: 6889.</w:t>
      </w:r>
    </w:p>
    <w:p>
      <w:pPr>
        <w:pStyle w:val="ListBullet"/>
      </w:pPr>
      <w:r>
        <w:t>Сделки с просроченными активностями: 51.</w:t>
      </w:r>
    </w:p>
    <w:p>
      <w:pPr>
        <w:pStyle w:val="ListBullet"/>
      </w:pPr>
      <w:r>
        <w:t>Без коммуникации 7/14/30 дней: 6669 / 2886 / 2705.</w:t>
      </w:r>
    </w:p>
    <w:tbl>
      <w:tblPr>
        <w:tblStyle w:val="Отчетнаятаблица"/>
        <w:tblW w:type="auto" w:w="0"/>
        <w:jc w:val="center"/>
        <w:tblLook w:firstColumn="1" w:firstRow="1" w:lastColumn="0" w:lastRow="0" w:noHBand="0" w:noVBand="1" w:val="04A0"/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2850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Воронка</w:t>
            </w:r>
          </w:p>
        </w:tc>
        <w:tc>
          <w:tcPr>
            <w:tcW w:type="dxa" w:w="2850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Менеджер</w:t>
            </w:r>
          </w:p>
        </w:tc>
        <w:tc>
          <w:tcPr>
            <w:tcW w:type="dxa" w:w="2850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Без следующего шага</w:t>
            </w:r>
          </w:p>
        </w:tc>
        <w:tc>
          <w:tcPr>
            <w:tcW w:type="dxa" w:w="2850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С просрочками</w:t>
            </w:r>
          </w:p>
        </w:tc>
        <w:tc>
          <w:tcPr>
            <w:tcW w:type="dxa" w:w="2850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Без коммуникации 14+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Проекты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Рычковская Ксения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Проекты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Меньшиков Андрей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Проекты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Селифонова Марина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Проекты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Водящая Алина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Проекты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Куличенко Леонид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Проекты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Мелюхин Андрей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Проекты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Чечулина Анна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Проекты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Ильина Татьяна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Проекты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Шошина Виктория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Продажи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Деговцова Елизавета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Продажи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Смирнов Илья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Продажи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Гордиенко Евгения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Телемаркетинг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Исаева Дарья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384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26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Телемаркетинг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Деговцова Елизавета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102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Телемаркетинг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Семенихин Егор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16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Телемаркетинг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Смирнов Илья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Телемаркетинг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Вострецов Аркадий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Телемаркетинг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Гордиенко Евгения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Телемаркетинг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Халин Иван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Телемаркетинг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Погосян Георгий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Телемаркетинг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Щемелёв Евгений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Реанимация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Админ всея Belberry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1806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1674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Реанимация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Дудин Петр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589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258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Реанимация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Халин Иван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708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32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Реанимация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Голядкин Александр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446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99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Реанимация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Гордиенко Евгения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278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166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Реанимация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Исаева Дарья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411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16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Реанимация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Гудинова Анна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161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Реанимация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Погосян Георгий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338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Реанимация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Касаткин Даниил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22</w:t>
            </w:r>
          </w:p>
        </w:tc>
      </w:tr>
    </w:tbl>
    <w:p/>
    <w:p>
      <w:pPr>
        <w:pStyle w:val="Heading1"/>
      </w:pPr>
      <w:r>
        <w:t>7. Автоматизации</w:t>
      </w:r>
    </w:p>
    <w:tbl>
      <w:tblPr>
        <w:tblStyle w:val="Отчетнаятаблица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Метод проверки</w:t>
            </w:r>
          </w:p>
        </w:tc>
        <w:tc>
          <w:tcPr>
            <w:tcW w:type="dxa" w:w="3563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Доступен</w:t>
            </w:r>
          </w:p>
        </w:tc>
        <w:tc>
          <w:tcPr>
            <w:tcW w:type="dxa" w:w="3563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Найдено элементов</w:t>
            </w:r>
          </w:p>
        </w:tc>
        <w:tc>
          <w:tcPr>
            <w:tcW w:type="dxa" w:w="3563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crm.automation.robot.list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нет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Method not found!</w:t>
            </w:r>
          </w:p>
        </w:tc>
      </w:tr>
      <w:tr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crm.automation.trigger.list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да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bizproc.workflow.template.list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нет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356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request requires higher privileges than provided by the access token</w:t>
            </w:r>
          </w:p>
        </w:tc>
      </w:tr>
    </w:tbl>
    <w:p/>
    <w:p>
      <w:pPr>
        <w:pStyle w:val="ListBullet"/>
      </w:pPr>
      <w:r>
        <w:t>По REST удалось/не удалось проверить только то, что доступно текущему OAuth-приложению. Это не заменяет ручную инвентаризацию роботов в интерфейсе Bitrix24.</w:t>
      </w:r>
    </w:p>
    <w:p>
      <w:pPr>
        <w:pStyle w:val="ListBullet"/>
      </w:pPr>
      <w:r>
        <w:t>Особо проверить вручную: автосоздание задач, уведомления РОПу, смену источника, смену ответственного, перенос между воронками, создание встреч/брифов/договоров.</w:t>
      </w:r>
    </w:p>
    <w:p>
      <w:pPr>
        <w:pStyle w:val="Heading1"/>
      </w:pPr>
      <w:r>
        <w:t>8. Дубли и мусор</w:t>
      </w:r>
    </w:p>
    <w:p>
      <w:pPr>
        <w:pStyle w:val="ListBullet"/>
      </w:pPr>
      <w:r>
        <w:t>Явные структурные дубли уже видны на уровне воронок: параллельные аккаунтинг/retention-контуры, архивные контуры, пустые или почти пустые рабочие контуры.</w:t>
      </w:r>
    </w:p>
    <w:p>
      <w:pPr>
        <w:pStyle w:val="ListBullet"/>
      </w:pPr>
      <w:r>
        <w:t>Сделки без компании и компании без нормального идентификатора должны попадать в отдельную очередь чистки, иначе повторные сделки не связываются с историей клиента.</w:t>
      </w:r>
    </w:p>
    <w:p>
      <w:pPr>
        <w:pStyle w:val="ListBullet"/>
      </w:pPr>
      <w:r>
        <w:t>Для защиты от дублей нужно правило поиска по ИНН, телефону, email, домену и активной открытой сделке перед автосозданием карточки из звонка/чата.</w:t>
      </w:r>
    </w:p>
    <w:p>
      <w:pPr>
        <w:pStyle w:val="Heading1"/>
      </w:pPr>
      <w:r>
        <w:t>9. Рекомендации</w:t>
      </w:r>
    </w:p>
    <w:tbl>
      <w:tblPr>
        <w:tblStyle w:val="Отчетнаятаблица"/>
        <w:tblW w:type="auto" w:w="0"/>
        <w:jc w:val="center"/>
        <w:tblLook w:firstColumn="1" w:firstRow="1" w:lastColumn="0" w:lastRow="0" w:noHBand="0" w:noVBand="1" w:val="04A0"/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2850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Рекомендация</w:t>
            </w:r>
          </w:p>
        </w:tc>
        <w:tc>
          <w:tcPr>
            <w:tcW w:type="dxa" w:w="2850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Проблема</w:t>
            </w:r>
          </w:p>
        </w:tc>
        <w:tc>
          <w:tcPr>
            <w:tcW w:type="dxa" w:w="2850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Эффект</w:t>
            </w:r>
          </w:p>
        </w:tc>
        <w:tc>
          <w:tcPr>
            <w:tcW w:type="dxa" w:w="2850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Сложность</w:t>
            </w:r>
          </w:p>
        </w:tc>
        <w:tc>
          <w:tcPr>
            <w:tcW w:type="dxa" w:w="2850"/>
            <w:vAlign w:val="top"/>
            <w:shd w:fill="E7EEF8"/>
          </w:tcPr>
          <w:p>
            <w:pPr>
              <w:jc w:val="left"/>
            </w:pPr>
            <w:r/>
            <w:r>
              <w:rPr>
                <w:b/>
                <w:sz w:val="16"/>
              </w:rPr>
              <w:t>Приоритет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Зафиксировать единую карту коммерческих контуров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В сделках смешаны продажи, телемаркетинг, реанимация, аккаунтинг, retention, delivery и архивы.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Коммерческий директор получает одну понятную картину new business и отдельную картину клиентского развития.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средняя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Сократить и пересобрать Реанимацию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Реанимация работает как контейнер сегментов, а не как управляемая воронка.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Появится контроль SLA, конверсии и качества реактивации.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высокая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Перестать перезаписывать первичный маркетинговый источник внутренними источниками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Внутренние контуры и ручные действия могут загрязнять SOURCE_ID, особенно если телемаркетинг используется как источник.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Маркетинговая аналитика перестанет терять первичный канал привлечения.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средняя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Ввести обязательный следующий шаг для активных коммерческих сделок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Активные сделки без будущей активности невозможно контролировать по SLA.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РОП видит сделки без движения и может управлять фокусом менеджеров.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низкая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Нормализовать причины отказа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Причины отказа должны быть управленческим классификатором, а не способом закрыть карточку.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Отказы можно будет разбирать по продукту, цене, срокам, конкурентам, нецелевым и спаму.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низкая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Вынести delivery-процессы из сделочных воронок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Проекты и производственные процессы искажают коммерческий pipeline.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Продажи считаются до оплаты/передачи, delivery живёт в отдельной операционной сущности.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высокая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средний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Закрыть или скрыть пустые и архивные контуры из рабочей навигации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Пустые и архивные воронки создают шум и риск ошибочного заведения сделок.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Менеджеры видят только актуальные рабочие процессы.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низкая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средний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Сделать поля Компания, сумма, источник и причина отказа обязательными по ключевым переходам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Пустые поля ломают отчётность, автоматизации и передачу клиента между командами.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Управленческие отчёты станут сопоставимыми, а роботы будут запускаться предсказуемо.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средняя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Провести ручную инвентаризацию роботов в интерфейсе Bitrix24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 API не дал полного подтверждённого списка роботов и бизнес-процессов.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Можно будет безопасно найти дубли задач, конфликтующие уведомления и перезапись источников.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средняя</w:t>
            </w:r>
          </w:p>
        </w:tc>
        <w:tc>
          <w:tcPr>
            <w:tcW w:type="dxa" w:w="28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высокий</w:t>
            </w:r>
          </w:p>
        </w:tc>
      </w:tr>
    </w:tbl>
    <w:p/>
    <w:p>
      <w:pPr>
        <w:pStyle w:val="Heading2"/>
      </w:pPr>
      <w:r>
        <w:t>Рекомендация: Зафиксировать единую карту коммерческих контуров</w:t>
      </w:r>
    </w:p>
    <w:p>
      <w:r>
        <w:t>Проблема:</w:t>
      </w:r>
    </w:p>
    <w:p>
      <w:pPr>
        <w:pStyle w:val="ListBullet"/>
      </w:pPr>
      <w:r>
        <w:t>В сделках смешаны продажи, телемаркетинг, реанимация, аккаунтинг, retention, delivery и архивы.</w:t>
      </w:r>
    </w:p>
    <w:p>
      <w:r>
        <w:t>Что сделать:</w:t>
      </w:r>
    </w:p>
    <w:p>
      <w:pPr>
        <w:pStyle w:val="ListBullet"/>
      </w:pPr>
      <w:r>
        <w:t>Утвердить список рабочих коммерческих воронок, назначение каждой, owner и правило, где создаётся новая выручка.</w:t>
      </w:r>
    </w:p>
    <w:p>
      <w:r>
        <w:t>Обоснование:</w:t>
      </w:r>
    </w:p>
    <w:p>
      <w:pPr>
        <w:pStyle w:val="ListBullet"/>
      </w:pPr>
      <w:r>
        <w:t>Без этого pipeline и конверсия продолжат считаться вместе с не-продажными процессами.</w:t>
      </w:r>
    </w:p>
    <w:p>
      <w:r>
        <w:t>Ожидаемый эффект:</w:t>
      </w:r>
    </w:p>
    <w:p>
      <w:pPr>
        <w:pStyle w:val="ListBullet"/>
      </w:pPr>
      <w:r>
        <w:t>Коммерческий директор получает одну понятную картину new business и отдельную картину клиентского развития.</w:t>
      </w:r>
    </w:p>
    <w:p>
      <w:r>
        <w:t>Сложность внедрения:</w:t>
      </w:r>
    </w:p>
    <w:p>
      <w:pPr>
        <w:pStyle w:val="ListBullet"/>
      </w:pPr>
      <w:r>
        <w:t>средняя</w:t>
      </w:r>
    </w:p>
    <w:p>
      <w:r>
        <w:t>Приоритет:</w:t>
      </w:r>
    </w:p>
    <w:p>
      <w:pPr>
        <w:pStyle w:val="ListBullet"/>
      </w:pPr>
      <w:r>
        <w:t>высокий</w:t>
      </w:r>
    </w:p>
    <w:p>
      <w:pPr>
        <w:pStyle w:val="Heading2"/>
      </w:pPr>
      <w:r>
        <w:t>Рекомендация: Сократить и пересобрать Реанимацию</w:t>
      </w:r>
    </w:p>
    <w:p>
      <w:r>
        <w:t>Проблема:</w:t>
      </w:r>
    </w:p>
    <w:p>
      <w:pPr>
        <w:pStyle w:val="ListBullet"/>
      </w:pPr>
      <w:r>
        <w:t>Реанимация работает как контейнер сегментов, а не как управляемая воронка.</w:t>
      </w:r>
    </w:p>
    <w:p>
      <w:r>
        <w:t>Что сделать:</w:t>
      </w:r>
    </w:p>
    <w:p>
      <w:pPr>
        <w:pStyle w:val="ListBullet"/>
      </w:pPr>
      <w:r>
        <w:t>Перенести сегменты из стадий в поля и оставить короткий процесс: база, взят в работу, контакт, интерес, передано в продажи, отказ/неактуально.</w:t>
      </w:r>
    </w:p>
    <w:p>
      <w:r>
        <w:t>Обоснование:</w:t>
      </w:r>
    </w:p>
    <w:p>
      <w:pPr>
        <w:pStyle w:val="ListBullet"/>
      </w:pPr>
      <w:r>
        <w:t>Большой массив открытых карточек останется складом без управленческой ответственности.</w:t>
      </w:r>
    </w:p>
    <w:p>
      <w:r>
        <w:t>Ожидаемый эффект:</w:t>
      </w:r>
    </w:p>
    <w:p>
      <w:pPr>
        <w:pStyle w:val="ListBullet"/>
      </w:pPr>
      <w:r>
        <w:t>Появится контроль SLA, конверсии и качества реактивации.</w:t>
      </w:r>
    </w:p>
    <w:p>
      <w:r>
        <w:t>Сложность внедрения:</w:t>
      </w:r>
    </w:p>
    <w:p>
      <w:pPr>
        <w:pStyle w:val="ListBullet"/>
      </w:pPr>
      <w:r>
        <w:t>высокая</w:t>
      </w:r>
    </w:p>
    <w:p>
      <w:r>
        <w:t>Приоритет:</w:t>
      </w:r>
    </w:p>
    <w:p>
      <w:pPr>
        <w:pStyle w:val="ListBullet"/>
      </w:pPr>
      <w:r>
        <w:t>высокий</w:t>
      </w:r>
    </w:p>
    <w:p>
      <w:pPr>
        <w:pStyle w:val="Heading2"/>
      </w:pPr>
      <w:r>
        <w:t>Рекомендация: Перестать перезаписывать первичный маркетинговый источник внутренними источниками</w:t>
      </w:r>
    </w:p>
    <w:p>
      <w:r>
        <w:t>Проблема:</w:t>
      </w:r>
    </w:p>
    <w:p>
      <w:pPr>
        <w:pStyle w:val="ListBullet"/>
      </w:pPr>
      <w:r>
        <w:t>Внутренние контуры и ручные действия могут загрязнять SOURCE_ID, особенно если телемаркетинг используется как источник.</w:t>
      </w:r>
    </w:p>
    <w:p>
      <w:r>
        <w:t>Что сделать:</w:t>
      </w:r>
    </w:p>
    <w:p>
      <w:pPr>
        <w:pStyle w:val="ListBullet"/>
      </w:pPr>
      <w:r>
        <w:t>Разделить первичный источник и внутренний канал обработки; запретить роботам менять источник, если он уже заполнен.</w:t>
      </w:r>
    </w:p>
    <w:p>
      <w:r>
        <w:t>Обоснование:</w:t>
      </w:r>
    </w:p>
    <w:p>
      <w:pPr>
        <w:pStyle w:val="ListBullet"/>
      </w:pPr>
      <w:r>
        <w:t>Реклама и SDR будут спорить за один источник, а ROI каналов останется недостоверным.</w:t>
      </w:r>
    </w:p>
    <w:p>
      <w:r>
        <w:t>Ожидаемый эффект:</w:t>
      </w:r>
    </w:p>
    <w:p>
      <w:pPr>
        <w:pStyle w:val="ListBullet"/>
      </w:pPr>
      <w:r>
        <w:t>Маркетинговая аналитика перестанет терять первичный канал привлечения.</w:t>
      </w:r>
    </w:p>
    <w:p>
      <w:r>
        <w:t>Сложность внедрения:</w:t>
      </w:r>
    </w:p>
    <w:p>
      <w:pPr>
        <w:pStyle w:val="ListBullet"/>
      </w:pPr>
      <w:r>
        <w:t>средняя</w:t>
      </w:r>
    </w:p>
    <w:p>
      <w:r>
        <w:t>Приоритет:</w:t>
      </w:r>
    </w:p>
    <w:p>
      <w:pPr>
        <w:pStyle w:val="ListBullet"/>
      </w:pPr>
      <w:r>
        <w:t>высокий</w:t>
      </w:r>
    </w:p>
    <w:p>
      <w:pPr>
        <w:pStyle w:val="Heading2"/>
      </w:pPr>
      <w:r>
        <w:t>Рекомендация: Ввести обязательный следующий шаг для активных коммерческих сделок</w:t>
      </w:r>
    </w:p>
    <w:p>
      <w:r>
        <w:t>Проблема:</w:t>
      </w:r>
    </w:p>
    <w:p>
      <w:pPr>
        <w:pStyle w:val="ListBullet"/>
      </w:pPr>
      <w:r>
        <w:t>Активные сделки без будущей активности невозможно контролировать по SLA.</w:t>
      </w:r>
    </w:p>
    <w:p>
      <w:r>
        <w:t>Что сделать:</w:t>
      </w:r>
    </w:p>
    <w:p>
      <w:pPr>
        <w:pStyle w:val="ListBullet"/>
      </w:pPr>
      <w:r>
        <w:t>На активных стадиях требовать будущую задачу или дату следующего контакта; РОПу дать ежедневный список нарушений.</w:t>
      </w:r>
    </w:p>
    <w:p>
      <w:r>
        <w:t>Обоснование:</w:t>
      </w:r>
    </w:p>
    <w:p>
      <w:pPr>
        <w:pStyle w:val="ListBullet"/>
      </w:pPr>
      <w:r>
        <w:t>Сделки продолжат зависать без явного владельца следующего действия.</w:t>
      </w:r>
    </w:p>
    <w:p>
      <w:r>
        <w:t>Ожидаемый эффект:</w:t>
      </w:r>
    </w:p>
    <w:p>
      <w:pPr>
        <w:pStyle w:val="ListBullet"/>
      </w:pPr>
      <w:r>
        <w:t>РОП видит сделки без движения и может управлять фокусом менеджеров.</w:t>
      </w:r>
    </w:p>
    <w:p>
      <w:r>
        <w:t>Сложность внедрения:</w:t>
      </w:r>
    </w:p>
    <w:p>
      <w:pPr>
        <w:pStyle w:val="ListBullet"/>
      </w:pPr>
      <w:r>
        <w:t>низкая</w:t>
      </w:r>
    </w:p>
    <w:p>
      <w:r>
        <w:t>Приоритет:</w:t>
      </w:r>
    </w:p>
    <w:p>
      <w:pPr>
        <w:pStyle w:val="ListBullet"/>
      </w:pPr>
      <w:r>
        <w:t>высокий</w:t>
      </w:r>
    </w:p>
    <w:p>
      <w:pPr>
        <w:pStyle w:val="Heading2"/>
      </w:pPr>
      <w:r>
        <w:t>Рекомендация: Нормализовать причины отказа</w:t>
      </w:r>
    </w:p>
    <w:p>
      <w:r>
        <w:t>Проблема:</w:t>
      </w:r>
    </w:p>
    <w:p>
      <w:pPr>
        <w:pStyle w:val="ListBullet"/>
      </w:pPr>
      <w:r>
        <w:t>Причины отказа должны быть управленческим классификатором, а не способом закрыть карточку.</w:t>
      </w:r>
    </w:p>
    <w:p>
      <w:r>
        <w:t>Что сделать:</w:t>
      </w:r>
    </w:p>
    <w:p>
      <w:pPr>
        <w:pStyle w:val="ListBullet"/>
      </w:pPr>
      <w:r>
        <w:t>Сократить справочник отказов, объединить дубли, сделать причину обязательной при проигрыше и вынести Спам в технический отказ.</w:t>
      </w:r>
    </w:p>
    <w:p>
      <w:r>
        <w:t>Обоснование:</w:t>
      </w:r>
    </w:p>
    <w:p>
      <w:pPr>
        <w:pStyle w:val="ListBullet"/>
      </w:pPr>
      <w:r>
        <w:t>Проигрыши будут копиться без качественной обратной связи для продаж и маркетинга.</w:t>
      </w:r>
    </w:p>
    <w:p>
      <w:r>
        <w:t>Ожидаемый эффект:</w:t>
      </w:r>
    </w:p>
    <w:p>
      <w:pPr>
        <w:pStyle w:val="ListBullet"/>
      </w:pPr>
      <w:r>
        <w:t>Отказы можно будет разбирать по продукту, цене, срокам, конкурентам, нецелевым и спаму.</w:t>
      </w:r>
    </w:p>
    <w:p>
      <w:r>
        <w:t>Сложность внедрения:</w:t>
      </w:r>
    </w:p>
    <w:p>
      <w:pPr>
        <w:pStyle w:val="ListBullet"/>
      </w:pPr>
      <w:r>
        <w:t>низкая</w:t>
      </w:r>
    </w:p>
    <w:p>
      <w:r>
        <w:t>Приоритет:</w:t>
      </w:r>
    </w:p>
    <w:p>
      <w:pPr>
        <w:pStyle w:val="ListBullet"/>
      </w:pPr>
      <w:r>
        <w:t>высокий</w:t>
      </w:r>
    </w:p>
    <w:p>
      <w:pPr>
        <w:pStyle w:val="Heading2"/>
      </w:pPr>
      <w:r>
        <w:t>Рекомендация: Вынести delivery-процессы из сделочных воронок</w:t>
      </w:r>
    </w:p>
    <w:p>
      <w:r>
        <w:t>Проблема:</w:t>
      </w:r>
    </w:p>
    <w:p>
      <w:pPr>
        <w:pStyle w:val="ListBullet"/>
      </w:pPr>
      <w:r>
        <w:t>Проекты и производственные процессы искажают коммерческий pipeline.</w:t>
      </w:r>
    </w:p>
    <w:p>
      <w:r>
        <w:t>Что сделать:</w:t>
      </w:r>
    </w:p>
    <w:p>
      <w:pPr>
        <w:pStyle w:val="ListBullet"/>
      </w:pPr>
      <w:r>
        <w:t>После выигрыша создавать/связывать delivery smart-process, а сделку закрывать коммерческим результатом.</w:t>
      </w:r>
    </w:p>
    <w:p>
      <w:r>
        <w:t>Обоснование:</w:t>
      </w:r>
    </w:p>
    <w:p>
      <w:pPr>
        <w:pStyle w:val="ListBullet"/>
      </w:pPr>
      <w:r>
        <w:t>Длина сделки и конверсия будут смешиваться с производственным циклом.</w:t>
      </w:r>
    </w:p>
    <w:p>
      <w:r>
        <w:t>Ожидаемый эффект:</w:t>
      </w:r>
    </w:p>
    <w:p>
      <w:pPr>
        <w:pStyle w:val="ListBullet"/>
      </w:pPr>
      <w:r>
        <w:t>Продажи считаются до оплаты/передачи, delivery живёт в отдельной операционной сущности.</w:t>
      </w:r>
    </w:p>
    <w:p>
      <w:r>
        <w:t>Сложность внедрения:</w:t>
      </w:r>
    </w:p>
    <w:p>
      <w:pPr>
        <w:pStyle w:val="ListBullet"/>
      </w:pPr>
      <w:r>
        <w:t>высокая</w:t>
      </w:r>
    </w:p>
    <w:p>
      <w:r>
        <w:t>Приоритет:</w:t>
      </w:r>
    </w:p>
    <w:p>
      <w:pPr>
        <w:pStyle w:val="ListBullet"/>
      </w:pPr>
      <w:r>
        <w:t>средний</w:t>
      </w:r>
    </w:p>
    <w:p>
      <w:pPr>
        <w:pStyle w:val="Heading2"/>
      </w:pPr>
      <w:r>
        <w:t>Рекомендация: Закрыть или скрыть пустые и архивные контуры из рабочей навигации</w:t>
      </w:r>
    </w:p>
    <w:p>
      <w:r>
        <w:t>Проблема:</w:t>
      </w:r>
    </w:p>
    <w:p>
      <w:pPr>
        <w:pStyle w:val="ListBullet"/>
      </w:pPr>
      <w:r>
        <w:t>Пустые и архивные воронки создают шум и риск ошибочного заведения сделок.</w:t>
      </w:r>
    </w:p>
    <w:p>
      <w:r>
        <w:t>Что сделать:</w:t>
      </w:r>
    </w:p>
    <w:p>
      <w:pPr>
        <w:pStyle w:val="ListBullet"/>
      </w:pPr>
      <w:r>
        <w:t>Сначала заморозить создание новых карточек, затем закрыть остатки и скрыть контуры после согласования.</w:t>
      </w:r>
    </w:p>
    <w:p>
      <w:r>
        <w:t>Обоснование:</w:t>
      </w:r>
    </w:p>
    <w:p>
      <w:pPr>
        <w:pStyle w:val="ListBullet"/>
      </w:pPr>
      <w:r>
        <w:t>Новые карточки будут появляться в старых контурах по привычке или ошибке.</w:t>
      </w:r>
    </w:p>
    <w:p>
      <w:r>
        <w:t>Ожидаемый эффект:</w:t>
      </w:r>
    </w:p>
    <w:p>
      <w:pPr>
        <w:pStyle w:val="ListBullet"/>
      </w:pPr>
      <w:r>
        <w:t>Менеджеры видят только актуальные рабочие процессы.</w:t>
      </w:r>
    </w:p>
    <w:p>
      <w:r>
        <w:t>Сложность внедрения:</w:t>
      </w:r>
    </w:p>
    <w:p>
      <w:pPr>
        <w:pStyle w:val="ListBullet"/>
      </w:pPr>
      <w:r>
        <w:t>низкая</w:t>
      </w:r>
    </w:p>
    <w:p>
      <w:r>
        <w:t>Приоритет:</w:t>
      </w:r>
    </w:p>
    <w:p>
      <w:pPr>
        <w:pStyle w:val="ListBullet"/>
      </w:pPr>
      <w:r>
        <w:t>средний</w:t>
      </w:r>
    </w:p>
    <w:p>
      <w:pPr>
        <w:pStyle w:val="Heading2"/>
      </w:pPr>
      <w:r>
        <w:t>Рекомендация: Сделать поля Компания, сумма, источник и причина отказа обязательными по ключевым переходам</w:t>
      </w:r>
    </w:p>
    <w:p>
      <w:r>
        <w:t>Проблема:</w:t>
      </w:r>
    </w:p>
    <w:p>
      <w:pPr>
        <w:pStyle w:val="ListBullet"/>
      </w:pPr>
      <w:r>
        <w:t>Пустые поля ломают отчётность, автоматизации и передачу клиента между командами.</w:t>
      </w:r>
    </w:p>
    <w:p>
      <w:r>
        <w:t>Что сделать:</w:t>
      </w:r>
    </w:p>
    <w:p>
      <w:pPr>
        <w:pStyle w:val="ListBullet"/>
      </w:pPr>
      <w:r>
        <w:t>Настроить обязательность не на всей карточке сразу, а на переходах между ключевыми стадиями.</w:t>
      </w:r>
    </w:p>
    <w:p>
      <w:r>
        <w:t>Обоснование:</w:t>
      </w:r>
    </w:p>
    <w:p>
      <w:pPr>
        <w:pStyle w:val="ListBullet"/>
      </w:pPr>
      <w:r>
        <w:t>CRM останется заполненной частично, а автоматизации будут работать только на части карточек.</w:t>
      </w:r>
    </w:p>
    <w:p>
      <w:r>
        <w:t>Ожидаемый эффект:</w:t>
      </w:r>
    </w:p>
    <w:p>
      <w:pPr>
        <w:pStyle w:val="ListBullet"/>
      </w:pPr>
      <w:r>
        <w:t>Управленческие отчёты станут сопоставимыми, а роботы будут запускаться предсказуемо.</w:t>
      </w:r>
    </w:p>
    <w:p>
      <w:r>
        <w:t>Сложность внедрения:</w:t>
      </w:r>
    </w:p>
    <w:p>
      <w:pPr>
        <w:pStyle w:val="ListBullet"/>
      </w:pPr>
      <w:r>
        <w:t>средняя</w:t>
      </w:r>
    </w:p>
    <w:p>
      <w:r>
        <w:t>Приоритет:</w:t>
      </w:r>
    </w:p>
    <w:p>
      <w:pPr>
        <w:pStyle w:val="ListBullet"/>
      </w:pPr>
      <w:r>
        <w:t>высокий</w:t>
      </w:r>
    </w:p>
    <w:p>
      <w:pPr>
        <w:pStyle w:val="Heading2"/>
      </w:pPr>
      <w:r>
        <w:t>Рекомендация: Провести ручную инвентаризацию роботов в интерфейсе Bitrix24</w:t>
      </w:r>
    </w:p>
    <w:p>
      <w:r>
        <w:t>Проблема:</w:t>
      </w:r>
    </w:p>
    <w:p>
      <w:pPr>
        <w:pStyle w:val="ListBullet"/>
      </w:pPr>
      <w:r>
        <w:t>REST API не дал полного подтверждённого списка роботов и бизнес-процессов.</w:t>
      </w:r>
    </w:p>
    <w:p>
      <w:r>
        <w:t>Что сделать:</w:t>
      </w:r>
    </w:p>
    <w:p>
      <w:pPr>
        <w:pStyle w:val="ListBullet"/>
      </w:pPr>
      <w:r>
        <w:t>Собрать таблицу по каждой воронке: робот, стадия, действие, поле/задача/уведомление, owner, риск конфликта.</w:t>
      </w:r>
    </w:p>
    <w:p>
      <w:r>
        <w:t>Обоснование:</w:t>
      </w:r>
    </w:p>
    <w:p>
      <w:pPr>
        <w:pStyle w:val="ListBullet"/>
      </w:pPr>
      <w:r>
        <w:t>Автоматизации останутся чёрным ящиком, а изменения воронок могут сломать скрытые сценарии.</w:t>
      </w:r>
    </w:p>
    <w:p>
      <w:r>
        <w:t>Ожидаемый эффект:</w:t>
      </w:r>
    </w:p>
    <w:p>
      <w:pPr>
        <w:pStyle w:val="ListBullet"/>
      </w:pPr>
      <w:r>
        <w:t>Можно будет безопасно найти дубли задач, конфликтующие уведомления и перезапись источников.</w:t>
      </w:r>
    </w:p>
    <w:p>
      <w:r>
        <w:t>Сложность внедрения:</w:t>
      </w:r>
    </w:p>
    <w:p>
      <w:pPr>
        <w:pStyle w:val="ListBullet"/>
      </w:pPr>
      <w:r>
        <w:t>средняя</w:t>
      </w:r>
    </w:p>
    <w:p>
      <w:r>
        <w:t>Приоритет:</w:t>
      </w:r>
    </w:p>
    <w:p>
      <w:pPr>
        <w:pStyle w:val="ListBullet"/>
      </w:pPr>
      <w:r>
        <w:t>высокий</w:t>
      </w:r>
    </w:p>
    <w:p>
      <w:pPr>
        <w:pStyle w:val="Heading1"/>
      </w:pPr>
      <w:r>
        <w:t>10. План внедрения</w:t>
      </w:r>
    </w:p>
    <w:p>
      <w:pPr>
        <w:pStyle w:val="Heading2"/>
      </w:pPr>
      <w:r>
        <w:t>Быстрые победы</w:t>
      </w:r>
    </w:p>
    <w:p>
      <w:pPr>
        <w:pStyle w:val="ListBullet"/>
      </w:pPr>
      <w:r>
        <w:t>Ввести обязательный следующий шаг для активных коммерческих сделок</w:t>
      </w:r>
    </w:p>
    <w:p>
      <w:pPr>
        <w:pStyle w:val="ListBullet"/>
      </w:pPr>
      <w:r>
        <w:t>Нормализовать причины отказа</w:t>
      </w:r>
    </w:p>
    <w:p>
      <w:pPr>
        <w:pStyle w:val="ListBullet"/>
      </w:pPr>
      <w:r>
        <w:t>Закрыть или скрыть пустые и архивные контуры из рабочей навигации</w:t>
      </w:r>
    </w:p>
    <w:p>
      <w:pPr>
        <w:pStyle w:val="Heading2"/>
      </w:pPr>
      <w:r>
        <w:t>Среднесрочные улучшения</w:t>
      </w:r>
    </w:p>
    <w:p>
      <w:pPr>
        <w:pStyle w:val="ListBullet"/>
      </w:pPr>
      <w:r>
        <w:t>Зафиксировать единую карту коммерческих контуров</w:t>
      </w:r>
    </w:p>
    <w:p>
      <w:pPr>
        <w:pStyle w:val="ListBullet"/>
      </w:pPr>
      <w:r>
        <w:t>Перестать перезаписывать первичный маркетинговый источник внутренними источниками</w:t>
      </w:r>
    </w:p>
    <w:p>
      <w:pPr>
        <w:pStyle w:val="ListBullet"/>
      </w:pPr>
      <w:r>
        <w:t>Сделать поля Компания, сумма, источник и причина отказа обязательными по ключевым переходам</w:t>
      </w:r>
    </w:p>
    <w:p>
      <w:pPr>
        <w:pStyle w:val="ListBullet"/>
      </w:pPr>
      <w:r>
        <w:t>Провести ручную инвентаризацию роботов в интерфейсе Bitrix24</w:t>
      </w:r>
    </w:p>
    <w:p>
      <w:pPr>
        <w:pStyle w:val="Heading2"/>
      </w:pPr>
      <w:r>
        <w:t>Крупные изменения</w:t>
      </w:r>
    </w:p>
    <w:p>
      <w:pPr>
        <w:pStyle w:val="ListBullet"/>
      </w:pPr>
      <w:r>
        <w:t>Сократить и пересобрать Реанимацию</w:t>
      </w:r>
    </w:p>
    <w:p>
      <w:pPr>
        <w:pStyle w:val="ListBullet"/>
      </w:pPr>
      <w:r>
        <w:t>Вынести delivery-процессы из сделочных воронок</w:t>
      </w:r>
    </w:p>
    <w:p>
      <w:pPr>
        <w:pStyle w:val="Heading1"/>
      </w:pPr>
      <w:r>
        <w:t>11. Что требует ручного решения</w:t>
      </w:r>
    </w:p>
    <w:p>
      <w:pPr>
        <w:pStyle w:val="ListBullet"/>
      </w:pPr>
      <w:r>
        <w:t>Подтвердить owner каждой коммерческой воронки: Sales, SDR, Реанимация, Account Management, Retention.</w:t>
      </w:r>
    </w:p>
    <w:p>
      <w:pPr>
        <w:pStyle w:val="ListBullet"/>
      </w:pPr>
      <w:r>
        <w:t>Решить, какая воронка является единственным источником правды по новым деньгам.</w:t>
      </w:r>
    </w:p>
    <w:p>
      <w:pPr>
        <w:pStyle w:val="ListBullet"/>
      </w:pPr>
      <w:r>
        <w:t>В интерфейсе Bitrix24 вручную выгрузить/проверить роботов, потому что REST-доступ к ним ограничен.</w:t>
      </w:r>
    </w:p>
    <w:p>
      <w:pPr>
        <w:pStyle w:val="ListBullet"/>
      </w:pPr>
      <w:r>
        <w:t>Утвердить справочник причин отказа и правило исключения спама из маркетинговой аналитики.</w:t>
      </w:r>
    </w:p>
    <w:p>
      <w:pPr>
        <w:pStyle w:val="ListBullet"/>
      </w:pPr>
      <w:r>
        <w:t>Утвердить правило сохранения первичного источника и отдельное поле для внутреннего канала обработки.</w:t>
      </w:r>
    </w:p>
    <w:p>
      <w:r>
        <w:t>Финальный вывод:</w:t>
      </w:r>
    </w:p>
    <w:p>
      <w:r>
        <w:t>В первую очередь нужно зафиксировать карту коммерческих контуров, запретить перезапись первичного источника, нормализовать причины отказа и включить контроль следующего шага. Максимальный эффект дадут чистая основная воронка продаж, короткая управляемая реанимация и единый post-sale/accounting контур. Наибольший риск сейчас создают смешанные воронки, активные карточки без следующего действия и автоматизации, которые могут менять источник, ответственного или маршрут сделки без прозрачного owner.</w:t>
      </w:r>
    </w:p>
    <w:p>
      <w:pPr>
        <w:pStyle w:val="Heading1"/>
      </w:pPr>
      <w:r>
        <w:t>Ограничения аудита</w:t>
      </w:r>
    </w:p>
    <w:p>
      <w:pPr>
        <w:pStyle w:val="ListBullet"/>
      </w:pPr>
      <w:r>
        <w:t>Никакие изменения в Bitrix24 не выполнялись.</w:t>
      </w:r>
    </w:p>
    <w:p>
      <w:pPr>
        <w:pStyle w:val="ListBullet"/>
      </w:pPr>
      <w:r>
        <w:t>Метрики по движению построены по crm.deal.list, crm.stagehistory.list, crm.status.list и crm.activity.list в доступном OAuth-контуре.</w:t>
      </w:r>
    </w:p>
    <w:p>
      <w:pPr>
        <w:pStyle w:val="ListBullet"/>
      </w:pPr>
      <w:r>
        <w:t>Историю изменения SOURCE_ID и полный список роботов текущий REST-доступ может не раскрывать; эти зоны помечены как требующие ручной проверки.</w:t>
      </w:r>
    </w:p>
    <w:sectPr w:rsidR="00FC693F" w:rsidRPr="0006063C" w:rsidSect="00034616">
      <w:footerReference w:type="default" r:id="rId9"/>
      <w:pgSz w:w="15840" w:h="12240" w:orient="landscape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Аудит Bitrix24. Подготовлено в МСК. Документ сформирован без изменений в Bitrix24.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9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9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39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Отчетнаятаблица">
    <w:name w:val="Отчетная таблица"/>
    <w:basedOn w:val="TableGri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