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0C2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8" w:afterAutospacing="0" w:line="17" w:lineRule="atLeast"/>
        <w:ind w:left="0" w:right="0"/>
        <w:rPr>
          <w:b/>
          <w:bCs/>
          <w:sz w:val="26"/>
          <w:szCs w:val="26"/>
        </w:rPr>
      </w:pPr>
      <w:r>
        <w:rPr>
          <w:b/>
          <w:bCs/>
          <w:i w:val="0"/>
          <w:iCs w:val="0"/>
          <w:caps w:val="0"/>
          <w:spacing w:val="7"/>
          <w:sz w:val="26"/>
          <w:szCs w:val="26"/>
          <w:bdr w:val="none" w:color="auto" w:sz="0" w:space="0"/>
        </w:rPr>
        <w:t>为什么要讲领域特定语言和元建模</w:t>
      </w:r>
    </w:p>
    <w:p w14:paraId="7A49C6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当一辆现代汽车搭载着超过80个电子控制单元和数百个软件组件在公路上飞驰，当飞机自动驾驶系统的每一个指令都关乎上百人的生命安全，传统软件开发方法的软肋便暴露无遗。长久以来，开发者依赖C、C++、Java这类第三代编程语言实现系统，用实现导向的术语描述解决方案，这使得高层设计信息在编码过程中被层层稀释甚至彻底丢失。编译器只能识别语法错误和最基础的语义错误，对于汽车电子中至关重要的消息通信周期、航空电子里严苛的资源消耗约束这类领域特有的概念，它完全无法理解。而这些潜藏在设计深处的错误，往往要到测试阶段甚至系统运行时才会爆发——可设计阶段修复一个错误的成本，仅为测试阶段的百分之一，一旦系统部署后再去修正，成本会飙升数千倍。在分布式实时嵌入式系统领域，这个问题更是被放大到了极致：将10个软件组件部署到10个ECU的可能方案多达3.87亿种，依靠人工建模几乎不可能找到完整且有效的解，组合爆炸的阴影始终笼罩着复杂系统的开发过程。</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3040" cy="4072255"/>
            <wp:effectExtent l="0" t="0" r="0" b="1206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273040" cy="407225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图：嵌入式计算单元部署的维度爆炸问题</w:t>
      </w:r>
    </w:p>
    <w:p w14:paraId="08A479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软件开发方法的抽象层次，与工具能在早期识别的错误复杂度有着清晰的正相关关系：C语言只能发现语法级错误，C++依托面向对象类型系统扩展到了语义级错误检查，却依然无法触及领域约束；只有当领域特定建模语言出现后，工具才终于突破了编程语言的语义边界，能够识别组件间消息通信周期不匹配、资源消耗违规、产品线架构组合规则失效这类传统方法完全无法预警的致命错误——而这正是模型驱动开发在分布式实时嵌入式系统领域不可替代的价值所在。</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1770" cy="4796790"/>
            <wp:effectExtent l="0" t="0" r="1270" b="381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5271770" cy="479679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图：不同语言的抽象层次</w:t>
      </w:r>
    </w:p>
    <w:p w14:paraId="3FC96A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模型驱动开发范式的诞生将高阶可视化抽象与特定领域语义深度融合，让模型不再只是设计阶段的纸面文档，而是成为了贯穿开发全流程的核心资产。和传统编译器相比，模型驱动开发工具不仅能完成语法和语义检查，更能基于模型自动生成可执行代码，把错误发现的时间窗口从测试阶段提前到了设计阶段，从根源上降低了开发成本。建模语言自然地分成了通用和特定领域两类，以UML为代表的通用建模语言依托OMG的MOF元模型标准，拥有良好的互操作性和行业接受度，还能通过Profile机制扩展适配不同领域，但统一元模型的约束终究限制了它的表达能力，难以精确刻画特定领域的空间属性、实时约束或资源分配规则。领域特定建模语言是为特定应用领域量身定制的工具，它通过专用元模型定义语义类型系统，让领域专家无需精通底层编程语言，就能用贴近业务本质的符号精确描述解决方案。从形式化定义来看，它是一个包含具体语法、抽象语法、语义域、语义映射和语法映射的五元组：具体语法是人机交互的图形或文本符号，抽象语法定义了语言中的概念、关系与完整性约束，语义域用数学形式化框架锚定模型的含义，语义映射建立了抽象语法到数学域的解释关系，语法映射则决定了概念如何被渲染为可视化符号。</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2609850" cy="266700"/>
            <wp:effectExtent l="0" t="0" r="11430" b="762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2609850" cy="266700"/>
                    </a:xfrm>
                    <a:prstGeom prst="rect">
                      <a:avLst/>
                    </a:prstGeom>
                    <a:noFill/>
                    <a:ln w="9525">
                      <a:noFill/>
                    </a:ln>
                  </pic:spPr>
                </pic:pic>
              </a:graphicData>
            </a:graphic>
          </wp:inline>
        </w:drawing>
      </w:r>
    </w:p>
    <w:p w14:paraId="546636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图：领域建模语言的五元组形式化定义</w:t>
      </w:r>
    </w:p>
    <w:p w14:paraId="441A99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pPr>
      <w:bookmarkStart w:id="0" w:name="_GoBack"/>
      <w:bookmarkEnd w:id="0"/>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整个构建过程的核心是元建模，也就是用元语言对领域语言的语法与语义进行形式化描述。OMG的Meta-Object Facility是国际通用的元建模标准，它定义了M0到M3的四层元模型架构，支持递归自描述；在Eclipse生态中，Ecore作为MOF的简化实现，让开发者只需描述领域特定建模语言的元模型，EMF就能自动生成对应的Java数据结构和基础树形编辑器。对于复杂的框图类可视化需求，基于MVC模式的GEF提供了图形交互的基础，而GMF则在其之上进一步抽象，通过XML映射文件就能自动生成MVC控制器，大幅降低了图形化编辑器的开发难度。</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1770" cy="3903980"/>
            <wp:effectExtent l="0" t="0" r="1270" b="12700"/>
            <wp:docPr id="1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9"/>
                    <pic:cNvPicPr>
                      <a:picLocks noChangeAspect="1"/>
                    </pic:cNvPicPr>
                  </pic:nvPicPr>
                  <pic:blipFill>
                    <a:blip r:embed="rId7"/>
                    <a:stretch>
                      <a:fillRect/>
                    </a:stretch>
                  </pic:blipFill>
                  <pic:spPr>
                    <a:xfrm>
                      <a:off x="0" y="0"/>
                      <a:ext cx="5271770" cy="390398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图：元建模的四层架构</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69865" cy="4958715"/>
            <wp:effectExtent l="0" t="0" r="3175" b="9525"/>
            <wp:docPr id="1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60"/>
                    <pic:cNvPicPr>
                      <a:picLocks noChangeAspect="1"/>
                    </pic:cNvPicPr>
                  </pic:nvPicPr>
                  <pic:blipFill>
                    <a:blip r:embed="rId8"/>
                    <a:stretch>
                      <a:fillRect/>
                    </a:stretch>
                  </pic:blipFill>
                  <pic:spPr>
                    <a:xfrm>
                      <a:off x="0" y="0"/>
                      <a:ext cx="5269865" cy="495871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t>图：元建模与领域建模的关系</w:t>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Vanderbilt大学开发的GME和Eclipse生态的GEMS这类元可编程建模环境，更是把门槛降到了极致，开发者只需以可视化方式指定元模型，环境就能自动生成代码并配置出完整的图形编辑能力。这些技术的成熟，让领域特定建模语言走出了实验室，在汽车电子、航空航天、制造、信号处理等多个垂直领域落地生根：AUTOSAR标准定义了汽车电子全栈的领域元模型，支撑起ECU映射和约束检查的全流程；波音Bold Stroke产品线用它捕获机身时序、内存等核心需求，通过约束求解器自动匹配HUD显示更新组件；土星工厂的SSPF环境则实现了生产流程、组织架构与资源分配的一体化建模与系统生成。</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4310" cy="4375785"/>
            <wp:effectExtent l="0" t="0" r="13970" b="1333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274310" cy="437578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图：WebGME的高层系统架构</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66690" cy="2916555"/>
            <wp:effectExtent l="0" t="0" r="6350" b="9525"/>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10"/>
                    <a:stretch>
                      <a:fillRect/>
                    </a:stretch>
                  </pic:blipFill>
                  <pic:spPr>
                    <a:xfrm>
                      <a:off x="0" y="0"/>
                      <a:ext cx="5266690" cy="291655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图：WebGME对有限状态机的建模</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304800" cy="304800"/>
            <wp:effectExtent l="0" t="0" r="0" b="0"/>
            <wp:docPr id="1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63"/>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webGME对数字逻辑芯片的建模当领域特定建模语言的应用不断深入，模型集成计算的范式逐渐成型，它彻底重塑了嵌入式软件开发的逻辑。模型集成计算的核心，是将模型从描述性文档升级为贯穿系统全生命周期的生成性资产，它不再把时序、可靠性、功耗这些物理特性视为可有可无的非功能性需求，而是将其与逻辑正确性放在同等重要的位置，要求在设计早期就进行显式建模。通过领域特定建模语言捕获系统及其环境的多个交互视图后，开发者可以基于这些模型开展形式化分析、性能预测与自动代码生成，真正实现“模型即代码”——系统的主要实现不再依靠人工编码，而是通过生成器从模型自动推导，这不仅保证了设计意图在实现中的一致性，更让系统演化变得异常简单：只需修改模型，就能重新生成整个系统，无需在海量的底层代码中逐行调整。</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3675" cy="5238750"/>
            <wp:effectExtent l="0" t="0" r="14605" b="3810"/>
            <wp:docPr id="1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64"/>
                    <pic:cNvPicPr>
                      <a:picLocks noChangeAspect="1"/>
                    </pic:cNvPicPr>
                  </pic:nvPicPr>
                  <pic:blipFill>
                    <a:blip r:embed="rId12"/>
                    <a:stretch>
                      <a:fillRect/>
                    </a:stretch>
                  </pic:blipFill>
                  <pic:spPr>
                    <a:xfrm>
                      <a:off x="0" y="0"/>
                      <a:ext cx="5273675" cy="523875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图：模型集成计算（MIC）的开发过程</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66690" cy="3369945"/>
            <wp:effectExtent l="0" t="0" r="6350" b="13335"/>
            <wp:docPr id="1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5"/>
                    <pic:cNvPicPr>
                      <a:picLocks noChangeAspect="1"/>
                    </pic:cNvPicPr>
                  </pic:nvPicPr>
                  <pic:blipFill>
                    <a:blip r:embed="rId13"/>
                    <a:stretch>
                      <a:fillRect/>
                    </a:stretch>
                  </pic:blipFill>
                  <pic:spPr>
                    <a:xfrm>
                      <a:off x="0" y="0"/>
                      <a:ext cx="5266690" cy="336994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图：模型集成计算的实施过程</w:t>
      </w:r>
    </w:p>
    <w:p w14:paraId="503B5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支撑这一整套流程的是Vanderbilt大学提出的多图架构，它由形式化规约、元级转换、领域特定建模环境和应用域四部分组成，其中领域特定建模环境内部集成了模型构建器、模型库和模型解释器，通过元级转换，形式化规约能自动转化为建模环境的配置信息，快速生成面向特定领域的工具。</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4310" cy="3430905"/>
            <wp:effectExtent l="0" t="0" r="13970" b="13335"/>
            <wp:docPr id="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IMG_266"/>
                    <pic:cNvPicPr>
                      <a:picLocks noChangeAspect="1"/>
                    </pic:cNvPicPr>
                  </pic:nvPicPr>
                  <pic:blipFill>
                    <a:blip r:embed="rId14"/>
                    <a:stretch>
                      <a:fillRect/>
                    </a:stretch>
                  </pic:blipFill>
                  <pic:spPr>
                    <a:xfrm>
                      <a:off x="0" y="0"/>
                      <a:ext cx="5274310" cy="343090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图：多图架构示意</w:t>
      </w:r>
    </w:p>
    <w:p w14:paraId="6CCA62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作为多图架构的核心组件，GME是一个基于Windows平台的可配置模型集成程序综合工具，它的元可编程性使其能够快速适配从航空航天到工业制造的各类领域，支持层次化、多视角的大规模复杂系统建模。模型集成计算的自动化引擎是模型集成程序综合，它负责将领域特定模型自动转换为可执行软件、硬件应用或分析工具的输入文件，其核心是模型解释器。解释器的实现主要有三种路径：直接实现适用于简单转换场景，将遍历代码和输出代码分别嵌入输入和输出对象方法；基于Visitor模式的实现将遍历逻辑与节点操作分离，提升了可维护性；而元生成器则用图重写规则形式化描述生成器行为，把生成器本身也视为模型，从元模型直接推导出生成器代码。这套机制不仅支持从模型到实现的正向工程，还能将分析结果反馈回模型，实现两者的双向同步。</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3040" cy="3413760"/>
            <wp:effectExtent l="0" t="0" r="0" b="0"/>
            <wp:docPr id="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IMG_267"/>
                    <pic:cNvPicPr>
                      <a:picLocks noChangeAspect="1"/>
                    </pic:cNvPicPr>
                  </pic:nvPicPr>
                  <pic:blipFill>
                    <a:blip r:embed="rId15"/>
                    <a:stretch>
                      <a:fillRect/>
                    </a:stretch>
                  </pic:blipFill>
                  <pic:spPr>
                    <a:xfrm>
                      <a:off x="0" y="0"/>
                      <a:ext cx="5273040" cy="341376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图：通用建模环境的架构</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2405" cy="4543425"/>
            <wp:effectExtent l="0" t="0" r="635" b="13335"/>
            <wp:docPr id="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descr="IMG_268"/>
                    <pic:cNvPicPr>
                      <a:picLocks noChangeAspect="1"/>
                    </pic:cNvPicPr>
                  </pic:nvPicPr>
                  <pic:blipFill>
                    <a:blip r:embed="rId16"/>
                    <a:stretch>
                      <a:fillRect/>
                    </a:stretch>
                  </pic:blipFill>
                  <pic:spPr>
                    <a:xfrm>
                      <a:off x="0" y="0"/>
                      <a:ext cx="5272405" cy="454342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图：基于GME定制领域特定语言和领域特定仿真系统示例</w:t>
      </w:r>
      <w:r>
        <w:rPr>
          <w:rFonts w:hint="eastAsia" w:ascii="Microsoft YaHei UI" w:hAnsi="Microsoft YaHei UI" w:eastAsia="Microsoft YaHei UI" w:cs="Microsoft YaHei UI"/>
          <w:i w:val="0"/>
          <w:iCs w:val="0"/>
          <w:caps w:val="0"/>
          <w:spacing w:val="7"/>
          <w:kern w:val="0"/>
          <w:sz w:val="19"/>
          <w:szCs w:val="19"/>
          <w:bdr w:val="none" w:color="auto" w:sz="0" w:space="0"/>
          <w:lang w:val="en-US" w:eastAsia="zh-CN" w:bidi="ar"/>
        </w:rPr>
        <w:drawing>
          <wp:inline distT="0" distB="0" distL="114300" distR="114300">
            <wp:extent cx="5271770" cy="3982085"/>
            <wp:effectExtent l="0" t="0" r="1270" b="10795"/>
            <wp:docPr id="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IMG_269"/>
                    <pic:cNvPicPr>
                      <a:picLocks noChangeAspect="1"/>
                    </pic:cNvPicPr>
                  </pic:nvPicPr>
                  <pic:blipFill>
                    <a:blip r:embed="rId17"/>
                    <a:stretch>
                      <a:fillRect/>
                    </a:stretch>
                  </pic:blipFill>
                  <pic:spPr>
                    <a:xfrm>
                      <a:off x="0" y="0"/>
                      <a:ext cx="5271770" cy="398208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图：建模与约束求解的关联</w:t>
      </w:r>
    </w:p>
    <w:p w14:paraId="281123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经过数十年的发展，模型集成计算与领域特定建模已经形成了完整的工业技术生态，开源与商业工具并行发展，在各个关键领域落地了大量成熟的实践。开源生态以Eclipse为核心构建：EMF提供了基础的元建模和代码生成能力，Sirius让开发者可以快速创建图形化建模编辑器，ATL实现了高效的模型到模型转换，Acceleo则负责模型到文本的代码生成，而WebGME作为GME的Web化演进，更是开启了云原生分布式模型集成计算与协同建模的新时代。商业生态则更加成熟，覆盖了从通用开发到安全关键系统的全场景：MathWorks的Simulink/Stateflow是工业界应用最广泛的平台，支持从多视图模型直接生成嵌入式C代码，几乎垄断了汽车ECU和飞控系统的早期开发；ANSYS的SCADE Suite基于形式化语言Lustre构建，专为航空和轨道交通的安全关键系统设计，其生成的代码完全符合DO-178C和ISO 26262标准；MetaEdit+提供了强大的元建模能力和多代码生成器支持，JetBrains MPS则开创了投影编辑的领域语言定义模式，Thales主导的Capella/Arcadia平台则成为了航空电子系统架构设计的行业标准。在工业实践中，这些技术已经展现出了惊人的价值：汽车电子领域，AUTOSAR标准配合基于Prolog的ROC框架，实现了组件到ECU的自动映射和资源优化，解决了长期困扰行业的部署难题；国际空间站的FDIR系统涉及电气、液压、信息、气动四个学科，每个学科对应一个独立的建模视图，跨学科交互在专门的视图中建模，所有变更通过共享底层数据结构自动传播，彻底避免了多学科协同中的信息不一致问题；土星工厂的SSPF生产流程建模环境则让生产系统的设计与部署周期缩短了数倍，实现了制造流程的快速迭代与优化。</w:t>
      </w:r>
    </w:p>
    <w:tbl>
      <w:tblPr>
        <w:tblW w:w="65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80"/>
        <w:gridCol w:w="2186"/>
        <w:gridCol w:w="2186"/>
      </w:tblGrid>
      <w:tr w14:paraId="60CAA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single" w:color="DEE0E3" w:sz="8" w:space="0"/>
              <w:left w:val="single" w:color="DEE0E3" w:sz="8" w:space="0"/>
              <w:bottom w:val="single" w:color="DEE0E3" w:sz="8" w:space="0"/>
              <w:right w:val="single" w:color="DEE0E3" w:sz="8" w:space="0"/>
            </w:tcBorders>
            <w:shd w:val="clear" w:color="auto" w:fill="1C1C1C"/>
            <w:tcMar>
              <w:top w:w="60" w:type="dxa"/>
              <w:left w:w="120" w:type="dxa"/>
              <w:bottom w:w="30" w:type="dxa"/>
              <w:right w:w="120" w:type="dxa"/>
            </w:tcMar>
            <w:vAlign w:val="top"/>
          </w:tcPr>
          <w:p w14:paraId="2BD01DD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类别</w:t>
            </w:r>
          </w:p>
        </w:tc>
        <w:tc>
          <w:tcPr>
            <w:tcW w:w="2208" w:type="dxa"/>
            <w:tcBorders>
              <w:top w:val="single" w:color="auto" w:sz="8" w:space="0"/>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44DA088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数智化工具</w:t>
            </w:r>
          </w:p>
        </w:tc>
        <w:tc>
          <w:tcPr>
            <w:tcW w:w="2208" w:type="dxa"/>
            <w:tcBorders>
              <w:top w:val="single" w:color="auto" w:sz="8" w:space="0"/>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7AA94E7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功能说明</w:t>
            </w:r>
          </w:p>
        </w:tc>
      </w:tr>
      <w:tr w14:paraId="26E99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37B6D38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建模环境</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074FA9E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ascii="Arial" w:hAnsi="Arial" w:cs="Arial"/>
                <w:color w:val="191919"/>
                <w:sz w:val="18"/>
                <w:szCs w:val="18"/>
                <w:bdr w:val="none" w:color="auto" w:sz="0" w:space="0"/>
              </w:rPr>
              <w:t>Generic Modeling Environment   (GME)</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71993A2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基于</w:t>
            </w:r>
            <w:r>
              <w:rPr>
                <w:rFonts w:hint="default" w:ascii="Arial" w:hAnsi="Arial" w:cs="Arial"/>
                <w:color w:val="191919"/>
                <w:sz w:val="18"/>
                <w:szCs w:val="18"/>
                <w:bdr w:val="none" w:color="auto" w:sz="0" w:space="0"/>
              </w:rPr>
              <w:t> Windows </w:t>
            </w:r>
            <w:r>
              <w:rPr>
                <w:color w:val="191919"/>
                <w:sz w:val="18"/>
                <w:szCs w:val="18"/>
                <w:bdr w:val="none" w:color="auto" w:sz="0" w:space="0"/>
              </w:rPr>
              <w:t>的元可编程</w:t>
            </w:r>
            <w:r>
              <w:rPr>
                <w:rFonts w:hint="default" w:ascii="Arial" w:hAnsi="Arial" w:cs="Arial"/>
                <w:color w:val="191919"/>
                <w:sz w:val="18"/>
                <w:szCs w:val="18"/>
                <w:bdr w:val="none" w:color="auto" w:sz="0" w:space="0"/>
              </w:rPr>
              <w:t> MDD </w:t>
            </w:r>
            <w:r>
              <w:rPr>
                <w:color w:val="191919"/>
                <w:sz w:val="18"/>
                <w:szCs w:val="18"/>
                <w:bdr w:val="none" w:color="auto" w:sz="0" w:space="0"/>
              </w:rPr>
              <w:t>工具，支持可视化元模型定义和自动代码生成</w:t>
            </w:r>
          </w:p>
        </w:tc>
      </w:tr>
      <w:tr w14:paraId="4462D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5BAEEF4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6A71001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Generic Eclipse Modeling   System (GEMS)</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73DB42F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Eclipse GMT </w:t>
            </w:r>
            <w:r>
              <w:rPr>
                <w:color w:val="CDCDCD"/>
                <w:sz w:val="18"/>
                <w:szCs w:val="18"/>
                <w:bdr w:val="none" w:color="auto" w:sz="0" w:space="0"/>
              </w:rPr>
              <w:t>项目的一部分，支持图形化编辑和复杂建模能力</w:t>
            </w:r>
          </w:p>
        </w:tc>
      </w:tr>
      <w:tr w14:paraId="0FB1F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09EC91B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4C1BA31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Eclipse Modeling Framework   (EMF) / Ecore</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37766C7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提供元建模语言和</w:t>
            </w:r>
            <w:r>
              <w:rPr>
                <w:rFonts w:hint="default" w:ascii="Arial" w:hAnsi="Arial" w:cs="Arial"/>
                <w:color w:val="191919"/>
                <w:sz w:val="18"/>
                <w:szCs w:val="18"/>
                <w:bdr w:val="none" w:color="auto" w:sz="0" w:space="0"/>
              </w:rPr>
              <w:t> Java </w:t>
            </w:r>
            <w:r>
              <w:rPr>
                <w:color w:val="191919"/>
                <w:sz w:val="18"/>
                <w:szCs w:val="18"/>
                <w:bdr w:val="none" w:color="auto" w:sz="0" w:space="0"/>
              </w:rPr>
              <w:t>代码自动生成能力</w:t>
            </w:r>
          </w:p>
        </w:tc>
      </w:tr>
      <w:tr w14:paraId="259B9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723F27C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1D10B86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Graphical Editor Framework   (GEF)</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395CDBF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基于</w:t>
            </w:r>
            <w:r>
              <w:rPr>
                <w:rFonts w:hint="default" w:ascii="Arial" w:hAnsi="Arial" w:cs="Arial"/>
                <w:color w:val="CDCDCD"/>
                <w:sz w:val="18"/>
                <w:szCs w:val="18"/>
                <w:bdr w:val="none" w:color="auto" w:sz="0" w:space="0"/>
              </w:rPr>
              <w:t> MVC </w:t>
            </w:r>
            <w:r>
              <w:rPr>
                <w:color w:val="CDCDCD"/>
                <w:sz w:val="18"/>
                <w:szCs w:val="18"/>
                <w:bdr w:val="none" w:color="auto" w:sz="0" w:space="0"/>
              </w:rPr>
              <w:t>模式的图形编辑器基础框架</w:t>
            </w:r>
          </w:p>
        </w:tc>
      </w:tr>
      <w:tr w14:paraId="28419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5F9861E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9875D7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Graphical Modeling Framework   (GMF)</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09E2BA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基于</w:t>
            </w:r>
            <w:r>
              <w:rPr>
                <w:rFonts w:hint="default" w:ascii="Arial" w:hAnsi="Arial" w:cs="Arial"/>
                <w:color w:val="191919"/>
                <w:sz w:val="18"/>
                <w:szCs w:val="18"/>
                <w:bdr w:val="none" w:color="auto" w:sz="0" w:space="0"/>
              </w:rPr>
              <w:t> GEF </w:t>
            </w:r>
            <w:r>
              <w:rPr>
                <w:color w:val="191919"/>
                <w:sz w:val="18"/>
                <w:szCs w:val="18"/>
                <w:bdr w:val="none" w:color="auto" w:sz="0" w:space="0"/>
              </w:rPr>
              <w:t>的高层框架，通过</w:t>
            </w:r>
            <w:r>
              <w:rPr>
                <w:rFonts w:hint="default" w:ascii="Arial" w:hAnsi="Arial" w:cs="Arial"/>
                <w:color w:val="191919"/>
                <w:sz w:val="18"/>
                <w:szCs w:val="18"/>
                <w:bdr w:val="none" w:color="auto" w:sz="0" w:space="0"/>
              </w:rPr>
              <w:t> XML </w:t>
            </w:r>
            <w:r>
              <w:rPr>
                <w:color w:val="191919"/>
                <w:sz w:val="18"/>
                <w:szCs w:val="18"/>
                <w:bdr w:val="none" w:color="auto" w:sz="0" w:space="0"/>
              </w:rPr>
              <w:t>映射自动生成控制器</w:t>
            </w:r>
          </w:p>
        </w:tc>
      </w:tr>
      <w:tr w14:paraId="5B68F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4BA2DAA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约束检查</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53A07F3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Object Constraint Language   (OCL)</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42AB92C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OMG </w:t>
            </w:r>
            <w:r>
              <w:rPr>
                <w:color w:val="CDCDCD"/>
                <w:sz w:val="18"/>
                <w:szCs w:val="18"/>
                <w:bdr w:val="none" w:color="auto" w:sz="0" w:space="0"/>
              </w:rPr>
              <w:t>标准约束语言，支持不变量、前置</w:t>
            </w:r>
            <w:r>
              <w:rPr>
                <w:rFonts w:hint="default" w:ascii="Arial" w:hAnsi="Arial" w:cs="Arial"/>
                <w:color w:val="CDCDCD"/>
                <w:sz w:val="18"/>
                <w:szCs w:val="18"/>
                <w:bdr w:val="none" w:color="auto" w:sz="0" w:space="0"/>
              </w:rPr>
              <w:t> / </w:t>
            </w:r>
            <w:r>
              <w:rPr>
                <w:color w:val="CDCDCD"/>
                <w:sz w:val="18"/>
                <w:szCs w:val="18"/>
                <w:bdr w:val="none" w:color="auto" w:sz="0" w:space="0"/>
              </w:rPr>
              <w:t>后置条件检查</w:t>
            </w:r>
          </w:p>
        </w:tc>
      </w:tr>
      <w:tr w14:paraId="28514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0474610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2F18536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EMF Validation Framework</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4DA3279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集成</w:t>
            </w:r>
            <w:r>
              <w:rPr>
                <w:rFonts w:hint="default" w:ascii="Arial" w:hAnsi="Arial" w:cs="Arial"/>
                <w:color w:val="191919"/>
                <w:sz w:val="18"/>
                <w:szCs w:val="18"/>
                <w:bdr w:val="none" w:color="auto" w:sz="0" w:space="0"/>
              </w:rPr>
              <w:t> OCL </w:t>
            </w:r>
            <w:r>
              <w:rPr>
                <w:color w:val="191919"/>
                <w:sz w:val="18"/>
                <w:szCs w:val="18"/>
                <w:bdr w:val="none" w:color="auto" w:sz="0" w:space="0"/>
              </w:rPr>
              <w:t>的实时约束验证框架</w:t>
            </w:r>
          </w:p>
        </w:tc>
      </w:tr>
      <w:tr w14:paraId="0CA4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154D03F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约束求解</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6F914D3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Prolog / CLP(FD)</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37580A9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逻辑编程语言，支持反向链式推导和有限域约束求解</w:t>
            </w:r>
          </w:p>
        </w:tc>
      </w:tr>
      <w:tr w14:paraId="3B346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59FF0C4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06B9CFE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Role-based Object Constraints   (ROCs)</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5B4F1BF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基于</w:t>
            </w:r>
            <w:r>
              <w:rPr>
                <w:rFonts w:hint="default" w:ascii="Arial" w:hAnsi="Arial" w:cs="Arial"/>
                <w:color w:val="191919"/>
                <w:sz w:val="18"/>
                <w:szCs w:val="18"/>
                <w:bdr w:val="none" w:color="auto" w:sz="0" w:space="0"/>
              </w:rPr>
              <w:t> Prolog </w:t>
            </w:r>
            <w:r>
              <w:rPr>
                <w:color w:val="191919"/>
                <w:sz w:val="18"/>
                <w:szCs w:val="18"/>
                <w:bdr w:val="none" w:color="auto" w:sz="0" w:space="0"/>
              </w:rPr>
              <w:t>的模型约束求解集成方法</w:t>
            </w:r>
          </w:p>
        </w:tc>
      </w:tr>
      <w:tr w14:paraId="4F1D9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2FB432A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058DC9A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SICStus Prolog / SWI-Prolog</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385F5C1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主流</w:t>
            </w:r>
            <w:r>
              <w:rPr>
                <w:rFonts w:hint="default" w:ascii="Arial" w:hAnsi="Arial" w:cs="Arial"/>
                <w:color w:val="CDCDCD"/>
                <w:sz w:val="18"/>
                <w:szCs w:val="18"/>
                <w:bdr w:val="none" w:color="auto" w:sz="0" w:space="0"/>
              </w:rPr>
              <w:t> Prolog </w:t>
            </w:r>
            <w:r>
              <w:rPr>
                <w:color w:val="CDCDCD"/>
                <w:sz w:val="18"/>
                <w:szCs w:val="18"/>
                <w:bdr w:val="none" w:color="auto" w:sz="0" w:space="0"/>
              </w:rPr>
              <w:t>实现，作为后端求解引擎</w:t>
            </w:r>
          </w:p>
        </w:tc>
      </w:tr>
      <w:tr w14:paraId="0D593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06B7C82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515B22C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Choco Solver / JaCoP</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5AE4C4B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Java </w:t>
            </w:r>
            <w:r>
              <w:rPr>
                <w:color w:val="191919"/>
                <w:sz w:val="18"/>
                <w:szCs w:val="18"/>
                <w:bdr w:val="none" w:color="auto" w:sz="0" w:space="0"/>
              </w:rPr>
              <w:t>约束编程库，可与</w:t>
            </w:r>
            <w:r>
              <w:rPr>
                <w:rFonts w:hint="default" w:ascii="Arial" w:hAnsi="Arial" w:cs="Arial"/>
                <w:color w:val="191919"/>
                <w:sz w:val="18"/>
                <w:szCs w:val="18"/>
                <w:bdr w:val="none" w:color="auto" w:sz="0" w:space="0"/>
              </w:rPr>
              <w:t> EMF </w:t>
            </w:r>
            <w:r>
              <w:rPr>
                <w:color w:val="191919"/>
                <w:sz w:val="18"/>
                <w:szCs w:val="18"/>
                <w:bdr w:val="none" w:color="auto" w:sz="0" w:space="0"/>
              </w:rPr>
              <w:t>桥接</w:t>
            </w:r>
          </w:p>
        </w:tc>
      </w:tr>
      <w:tr w14:paraId="6FFD5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0745C93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5943839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CPLEX / Gurobi / GLPK</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0776667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商业</w:t>
            </w:r>
            <w:r>
              <w:rPr>
                <w:rFonts w:hint="default" w:ascii="Arial" w:hAnsi="Arial" w:cs="Arial"/>
                <w:color w:val="CDCDCD"/>
                <w:sz w:val="18"/>
                <w:szCs w:val="18"/>
                <w:bdr w:val="none" w:color="auto" w:sz="0" w:space="0"/>
              </w:rPr>
              <w:t> / </w:t>
            </w:r>
            <w:r>
              <w:rPr>
                <w:color w:val="CDCDCD"/>
                <w:sz w:val="18"/>
                <w:szCs w:val="18"/>
                <w:bdr w:val="none" w:color="auto" w:sz="0" w:space="0"/>
              </w:rPr>
              <w:t>开源数学规划求解器，处理</w:t>
            </w:r>
            <w:r>
              <w:rPr>
                <w:rFonts w:hint="default" w:ascii="Arial" w:hAnsi="Arial" w:cs="Arial"/>
                <w:color w:val="CDCDCD"/>
                <w:sz w:val="18"/>
                <w:szCs w:val="18"/>
                <w:bdr w:val="none" w:color="auto" w:sz="0" w:space="0"/>
              </w:rPr>
              <w:t> ILP/MIP </w:t>
            </w:r>
            <w:r>
              <w:rPr>
                <w:color w:val="CDCDCD"/>
                <w:sz w:val="18"/>
                <w:szCs w:val="18"/>
                <w:bdr w:val="none" w:color="auto" w:sz="0" w:space="0"/>
              </w:rPr>
              <w:t>优化</w:t>
            </w:r>
          </w:p>
        </w:tc>
      </w:tr>
      <w:tr w14:paraId="24910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48716B5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05FD2CD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OR-Tools / Gecode</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20A7827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开源约束编程和优化工具集</w:t>
            </w:r>
          </w:p>
        </w:tc>
      </w:tr>
      <w:tr w14:paraId="104A5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6D2F9FF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模型变换</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2DE4EE8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Atlas Transformation Language   (ATL)</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6FACD01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模型到模型转换语言，支持编译为字节码</w:t>
            </w:r>
          </w:p>
        </w:tc>
      </w:tr>
      <w:tr w14:paraId="56A00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76FBC99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4F31EB3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Open Architecture Ware (oAW)</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0D792F7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模型驱动代码生成框架</w:t>
            </w:r>
          </w:p>
        </w:tc>
      </w:tr>
      <w:tr w14:paraId="157BB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742683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3EA3729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QVT   (Query/View/Transformation)</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6714B2D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OMG </w:t>
            </w:r>
            <w:r>
              <w:rPr>
                <w:color w:val="CDCDCD"/>
                <w:sz w:val="18"/>
                <w:szCs w:val="18"/>
                <w:bdr w:val="none" w:color="auto" w:sz="0" w:space="0"/>
              </w:rPr>
              <w:t>模型转换标准</w:t>
            </w:r>
          </w:p>
        </w:tc>
      </w:tr>
      <w:tr w14:paraId="4CB10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6C4794F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97C530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EMF Compare / EMF Merge</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2081DBD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模型差异检测与合并工具</w:t>
            </w:r>
          </w:p>
        </w:tc>
      </w:tr>
      <w:tr w14:paraId="66267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3069277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设计辅助</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5A3A970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CUTS (Component Utilization   and Test Suite)</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41EC4AE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支持设计阶段</w:t>
            </w:r>
            <w:r>
              <w:rPr>
                <w:rFonts w:hint="default" w:ascii="Arial" w:hAnsi="Arial" w:cs="Arial"/>
                <w:color w:val="CDCDCD"/>
                <w:sz w:val="18"/>
                <w:szCs w:val="18"/>
                <w:bdr w:val="none" w:color="auto" w:sz="0" w:space="0"/>
              </w:rPr>
              <w:t> QoS </w:t>
            </w:r>
            <w:r>
              <w:rPr>
                <w:color w:val="CDCDCD"/>
                <w:sz w:val="18"/>
                <w:szCs w:val="18"/>
                <w:bdr w:val="none" w:color="auto" w:sz="0" w:space="0"/>
              </w:rPr>
              <w:t>经验评估的</w:t>
            </w:r>
            <w:r>
              <w:rPr>
                <w:rFonts w:hint="default" w:ascii="Arial" w:hAnsi="Arial" w:cs="Arial"/>
                <w:color w:val="CDCDCD"/>
                <w:sz w:val="18"/>
                <w:szCs w:val="18"/>
                <w:bdr w:val="none" w:color="auto" w:sz="0" w:space="0"/>
              </w:rPr>
              <w:t> MDD </w:t>
            </w:r>
            <w:r>
              <w:rPr>
                <w:color w:val="CDCDCD"/>
                <w:sz w:val="18"/>
                <w:szCs w:val="18"/>
                <w:bdr w:val="none" w:color="auto" w:sz="0" w:space="0"/>
              </w:rPr>
              <w:t>工具</w:t>
            </w:r>
          </w:p>
        </w:tc>
      </w:tr>
      <w:tr w14:paraId="569D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3781CFE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39EF19A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J2EEML</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2985428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支持自适应应用分析和设计冲突预测的建模工具</w:t>
            </w:r>
          </w:p>
        </w:tc>
      </w:tr>
      <w:tr w14:paraId="6C6CB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508865E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763C6F9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FeatureIDE / pure::variants /   Gears</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57E365A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特征建模与产品线变体选择工具</w:t>
            </w:r>
          </w:p>
        </w:tc>
      </w:tr>
      <w:tr w14:paraId="476C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5C641D8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14CB1C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SPL Conqueror</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A82744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集成</w:t>
            </w:r>
            <w:r>
              <w:rPr>
                <w:rFonts w:hint="default" w:ascii="Arial" w:hAnsi="Arial" w:cs="Arial"/>
                <w:color w:val="191919"/>
                <w:sz w:val="18"/>
                <w:szCs w:val="18"/>
                <w:bdr w:val="none" w:color="auto" w:sz="0" w:space="0"/>
              </w:rPr>
              <w:t> SAT </w:t>
            </w:r>
            <w:r>
              <w:rPr>
                <w:color w:val="191919"/>
                <w:sz w:val="18"/>
                <w:szCs w:val="18"/>
                <w:bdr w:val="none" w:color="auto" w:sz="0" w:space="0"/>
              </w:rPr>
              <w:t>求解器的产品线配置工具</w:t>
            </w:r>
          </w:p>
        </w:tc>
      </w:tr>
      <w:tr w14:paraId="0EBBB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0D24B13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元数据标准</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4AF93F9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Resource Description Framework   (RDF)</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704C24D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资源描述框架，用于组件元数据标准化</w:t>
            </w:r>
          </w:p>
        </w:tc>
      </w:tr>
      <w:tr w14:paraId="660A6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743D1B4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4AEAA42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Web Services Description   Language (WSDL)</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345E677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服务描述语言，扩展用于非功能属性描述</w:t>
            </w:r>
          </w:p>
        </w:tc>
      </w:tr>
      <w:tr w14:paraId="1D618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70E9198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6026DD8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AUTOSAR Meta-Model / ARXML</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382D351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汽车电子领域模型交换标准</w:t>
            </w:r>
          </w:p>
        </w:tc>
      </w:tr>
      <w:tr w14:paraId="6622D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1688383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优化算法</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347E9A9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Simplex Method</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8DB875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线性规划优化基础算法</w:t>
            </w:r>
          </w:p>
        </w:tc>
      </w:tr>
      <w:tr w14:paraId="27933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164AF63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0A147DE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First Fit Decreasing (FFD)</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5643460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装箱近似算法，提供解质量下界保证</w:t>
            </w:r>
          </w:p>
        </w:tc>
      </w:tr>
      <w:tr w14:paraId="3E29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0B543D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276A91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遗传算法</w:t>
            </w:r>
            <w:r>
              <w:rPr>
                <w:rFonts w:hint="default" w:ascii="Arial" w:hAnsi="Arial" w:cs="Arial"/>
                <w:color w:val="191919"/>
                <w:sz w:val="18"/>
                <w:szCs w:val="18"/>
                <w:bdr w:val="none" w:color="auto" w:sz="0" w:space="0"/>
              </w:rPr>
              <w:t> / </w:t>
            </w:r>
            <w:r>
              <w:rPr>
                <w:color w:val="191919"/>
                <w:sz w:val="18"/>
                <w:szCs w:val="18"/>
                <w:bdr w:val="none" w:color="auto" w:sz="0" w:space="0"/>
              </w:rPr>
              <w:t>模拟退火</w:t>
            </w:r>
            <w:r>
              <w:rPr>
                <w:rFonts w:hint="default" w:ascii="Arial" w:hAnsi="Arial" w:cs="Arial"/>
                <w:color w:val="191919"/>
                <w:sz w:val="18"/>
                <w:szCs w:val="18"/>
                <w:bdr w:val="none" w:color="auto" w:sz="0" w:space="0"/>
              </w:rPr>
              <w:t> / </w:t>
            </w:r>
            <w:r>
              <w:rPr>
                <w:color w:val="191919"/>
                <w:sz w:val="18"/>
                <w:szCs w:val="18"/>
                <w:bdr w:val="none" w:color="auto" w:sz="0" w:space="0"/>
              </w:rPr>
              <w:t>禁忌搜索</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27732A7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元启发式算法，处理大规模组合优化</w:t>
            </w:r>
          </w:p>
        </w:tc>
      </w:tr>
      <w:tr w14:paraId="42AA5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4F69B1E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集成架构</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05FE684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Command Pattern (GEF Commands)</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342ED6F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封装建模动作，支持求解器嵌入</w:t>
            </w:r>
          </w:p>
        </w:tc>
      </w:tr>
      <w:tr w14:paraId="3AED6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7C8AA4F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65001AB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Eclipse Operation History API</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47828A2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支持撤销</w:t>
            </w:r>
            <w:r>
              <w:rPr>
                <w:rFonts w:hint="default" w:ascii="Arial" w:hAnsi="Arial" w:cs="Arial"/>
                <w:color w:val="191919"/>
                <w:sz w:val="18"/>
                <w:szCs w:val="18"/>
                <w:bdr w:val="none" w:color="auto" w:sz="0" w:space="0"/>
              </w:rPr>
              <w:t> / </w:t>
            </w:r>
            <w:r>
              <w:rPr>
                <w:color w:val="191919"/>
                <w:sz w:val="18"/>
                <w:szCs w:val="18"/>
                <w:bdr w:val="none" w:color="auto" w:sz="0" w:space="0"/>
              </w:rPr>
              <w:t>重做与求解器事务集成</w:t>
            </w:r>
          </w:p>
        </w:tc>
      </w:tr>
      <w:tr w14:paraId="4DCFE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7AAE77B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4F202CC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JPL / InterProlog</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73BD7EA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Java </w:t>
            </w:r>
            <w:r>
              <w:rPr>
                <w:color w:val="CDCDCD"/>
                <w:sz w:val="18"/>
                <w:szCs w:val="18"/>
                <w:bdr w:val="none" w:color="auto" w:sz="0" w:space="0"/>
              </w:rPr>
              <w:t>与</w:t>
            </w:r>
            <w:r>
              <w:rPr>
                <w:rFonts w:hint="default" w:ascii="Arial" w:hAnsi="Arial" w:cs="Arial"/>
                <w:color w:val="CDCDCD"/>
                <w:sz w:val="18"/>
                <w:szCs w:val="18"/>
                <w:bdr w:val="none" w:color="auto" w:sz="0" w:space="0"/>
              </w:rPr>
              <w:t> Prolog </w:t>
            </w:r>
            <w:r>
              <w:rPr>
                <w:color w:val="CDCDCD"/>
                <w:sz w:val="18"/>
                <w:szCs w:val="18"/>
                <w:bdr w:val="none" w:color="auto" w:sz="0" w:space="0"/>
              </w:rPr>
              <w:t>的桥接库</w:t>
            </w:r>
          </w:p>
        </w:tc>
      </w:tr>
      <w:tr w14:paraId="362E6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5905B3D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模型存储与持久化</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7DF7DDF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细粒度</w:t>
            </w:r>
            <w:r>
              <w:rPr>
                <w:rFonts w:hint="default" w:ascii="Arial" w:hAnsi="Arial" w:cs="Arial"/>
                <w:color w:val="191919"/>
                <w:sz w:val="18"/>
                <w:szCs w:val="18"/>
                <w:bdr w:val="none" w:color="auto" w:sz="0" w:space="0"/>
              </w:rPr>
              <w:t> XML </w:t>
            </w:r>
            <w:r>
              <w:rPr>
                <w:color w:val="191919"/>
                <w:sz w:val="18"/>
                <w:szCs w:val="18"/>
                <w:bdr w:val="none" w:color="auto" w:sz="0" w:space="0"/>
              </w:rPr>
              <w:t>文件化存储</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13E38C1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将模型分解为独立</w:t>
            </w:r>
            <w:r>
              <w:rPr>
                <w:rFonts w:hint="default" w:ascii="Arial" w:hAnsi="Arial" w:cs="Arial"/>
                <w:color w:val="191919"/>
                <w:sz w:val="18"/>
                <w:szCs w:val="18"/>
                <w:bdr w:val="none" w:color="auto" w:sz="0" w:space="0"/>
              </w:rPr>
              <w:t> XML </w:t>
            </w:r>
            <w:r>
              <w:rPr>
                <w:color w:val="191919"/>
                <w:sz w:val="18"/>
                <w:szCs w:val="18"/>
                <w:bdr w:val="none" w:color="auto" w:sz="0" w:space="0"/>
              </w:rPr>
              <w:t>文件，降低锁粒度</w:t>
            </w:r>
          </w:p>
        </w:tc>
      </w:tr>
      <w:tr w14:paraId="35FAE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7931C7D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1DE91D8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二进制缓存</w:t>
            </w:r>
            <w:r>
              <w:rPr>
                <w:rFonts w:hint="default" w:ascii="Arial" w:hAnsi="Arial" w:cs="Arial"/>
                <w:color w:val="CDCDCD"/>
                <w:sz w:val="18"/>
                <w:szCs w:val="18"/>
                <w:bdr w:val="none" w:color="auto" w:sz="0" w:space="0"/>
              </w:rPr>
              <w:t> (.bin)</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3AC635D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保存项目全局结构指针与关系索引，提升访问速度</w:t>
            </w:r>
          </w:p>
        </w:tc>
      </w:tr>
      <w:tr w14:paraId="3A52B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4AE47E2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3D44513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Eclipse CDO</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5B0D194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支持分布式事务的模型存储与持久化框架</w:t>
            </w:r>
          </w:p>
        </w:tc>
      </w:tr>
      <w:tr w14:paraId="3A1AB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5E30BF6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协同与版本控制</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0328744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基于</w:t>
            </w:r>
            <w:r>
              <w:rPr>
                <w:rFonts w:hint="default" w:ascii="Arial" w:hAnsi="Arial" w:cs="Arial"/>
                <w:color w:val="CDCDCD"/>
                <w:sz w:val="18"/>
                <w:szCs w:val="18"/>
                <w:bdr w:val="none" w:color="auto" w:sz="0" w:space="0"/>
              </w:rPr>
              <w:t> SCM </w:t>
            </w:r>
            <w:r>
              <w:rPr>
                <w:color w:val="CDCDCD"/>
                <w:sz w:val="18"/>
                <w:szCs w:val="18"/>
                <w:bdr w:val="none" w:color="auto" w:sz="0" w:space="0"/>
              </w:rPr>
              <w:t>的客户端</w:t>
            </w:r>
            <w:r>
              <w:rPr>
                <w:rFonts w:hint="default" w:ascii="Arial" w:hAnsi="Arial" w:cs="Arial"/>
                <w:color w:val="CDCDCD"/>
                <w:sz w:val="18"/>
                <w:szCs w:val="18"/>
                <w:bdr w:val="none" w:color="auto" w:sz="0" w:space="0"/>
              </w:rPr>
              <w:t> - </w:t>
            </w:r>
            <w:r>
              <w:rPr>
                <w:color w:val="CDCDCD"/>
                <w:sz w:val="18"/>
                <w:szCs w:val="18"/>
                <w:bdr w:val="none" w:color="auto" w:sz="0" w:space="0"/>
              </w:rPr>
              <w:t>服务器架构</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6ADB1CE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利用</w:t>
            </w:r>
            <w:r>
              <w:rPr>
                <w:rFonts w:hint="default" w:ascii="Arial" w:hAnsi="Arial" w:cs="Arial"/>
                <w:color w:val="CDCDCD"/>
                <w:sz w:val="18"/>
                <w:szCs w:val="18"/>
                <w:bdr w:val="none" w:color="auto" w:sz="0" w:space="0"/>
              </w:rPr>
              <w:t> ClearCase</w:t>
            </w:r>
            <w:r>
              <w:rPr>
                <w:color w:val="CDCDCD"/>
                <w:sz w:val="18"/>
                <w:szCs w:val="18"/>
                <w:bdr w:val="none" w:color="auto" w:sz="0" w:space="0"/>
              </w:rPr>
              <w:t>、</w:t>
            </w:r>
            <w:r>
              <w:rPr>
                <w:rFonts w:hint="default" w:ascii="Arial" w:hAnsi="Arial" w:cs="Arial"/>
                <w:color w:val="CDCDCD"/>
                <w:sz w:val="18"/>
                <w:szCs w:val="18"/>
                <w:bdr w:val="none" w:color="auto" w:sz="0" w:space="0"/>
              </w:rPr>
              <w:t>Git </w:t>
            </w:r>
            <w:r>
              <w:rPr>
                <w:color w:val="CDCDCD"/>
                <w:sz w:val="18"/>
                <w:szCs w:val="18"/>
                <w:bdr w:val="none" w:color="auto" w:sz="0" w:space="0"/>
              </w:rPr>
              <w:t>等工具实现分布式并发访问</w:t>
            </w:r>
          </w:p>
        </w:tc>
      </w:tr>
      <w:tr w14:paraId="1A9A0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5D20BE7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76BAC2E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语义级锁定</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64FFFEC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编辑模型时递归锁定所有依赖对象，保证一致性</w:t>
            </w:r>
          </w:p>
        </w:tc>
      </w:tr>
      <w:tr w14:paraId="1DFF7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5A222F8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2C0848E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CDCDCD"/>
                <w:sz w:val="18"/>
                <w:szCs w:val="18"/>
                <w:bdr w:val="none" w:color="auto" w:sz="0" w:space="0"/>
              </w:rPr>
              <w:t>EMF Compare</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231F22B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模型差异比较与合并框架</w:t>
            </w:r>
          </w:p>
        </w:tc>
      </w:tr>
      <w:tr w14:paraId="6D0F3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761E624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模型复用与迁移</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53A692C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复制闭包</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7649B89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沿关系类型递归扩展选择集，捕获所有语义依赖</w:t>
            </w:r>
          </w:p>
        </w:tc>
      </w:tr>
      <w:tr w14:paraId="66340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1C1C1C"/>
            <w:tcMar>
              <w:top w:w="60" w:type="dxa"/>
              <w:left w:w="120" w:type="dxa"/>
              <w:bottom w:w="30" w:type="dxa"/>
              <w:right w:w="120" w:type="dxa"/>
            </w:tcMar>
            <w:vAlign w:val="top"/>
          </w:tcPr>
          <w:p w14:paraId="302C4A4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2C25853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智能复制</w:t>
            </w:r>
          </w:p>
        </w:tc>
        <w:tc>
          <w:tcPr>
            <w:tcW w:w="2208" w:type="dxa"/>
            <w:tcBorders>
              <w:top w:val="nil"/>
              <w:left w:val="nil"/>
              <w:bottom w:val="single" w:color="auto" w:sz="8" w:space="0"/>
              <w:right w:val="single" w:color="auto" w:sz="8" w:space="0"/>
            </w:tcBorders>
            <w:shd w:val="clear" w:color="auto" w:fill="1C1C1C"/>
            <w:tcMar>
              <w:top w:w="60" w:type="dxa"/>
              <w:left w:w="120" w:type="dxa"/>
              <w:bottom w:w="30" w:type="dxa"/>
              <w:right w:w="120" w:type="dxa"/>
            </w:tcMar>
            <w:vAlign w:val="top"/>
          </w:tcPr>
          <w:p w14:paraId="4896A26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CDCDCD"/>
                <w:sz w:val="18"/>
                <w:szCs w:val="18"/>
                <w:bdr w:val="none" w:color="auto" w:sz="0" w:space="0"/>
              </w:rPr>
              <w:t>跨项目粘贴时重建引用、连接与继承关系</w:t>
            </w:r>
          </w:p>
        </w:tc>
      </w:tr>
      <w:tr w14:paraId="5A9E1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208" w:type="dxa"/>
            <w:tcBorders>
              <w:top w:val="nil"/>
              <w:left w:val="single" w:color="auto" w:sz="8" w:space="0"/>
              <w:bottom w:val="single" w:color="auto" w:sz="8" w:space="0"/>
              <w:right w:val="single" w:color="auto" w:sz="8" w:space="0"/>
            </w:tcBorders>
            <w:shd w:val="clear" w:color="auto" w:fill="BCBEC2"/>
            <w:tcMar>
              <w:top w:w="60" w:type="dxa"/>
              <w:left w:w="120" w:type="dxa"/>
              <w:bottom w:w="30" w:type="dxa"/>
              <w:right w:w="120" w:type="dxa"/>
            </w:tcMar>
            <w:vAlign w:val="top"/>
          </w:tcPr>
          <w:p w14:paraId="390118F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 </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68A8ED6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rFonts w:hint="default" w:ascii="Arial" w:hAnsi="Arial" w:cs="Arial"/>
                <w:color w:val="191919"/>
                <w:sz w:val="18"/>
                <w:szCs w:val="18"/>
                <w:bdr w:val="none" w:color="auto" w:sz="0" w:space="0"/>
              </w:rPr>
              <w:t>Edapt</w:t>
            </w:r>
          </w:p>
        </w:tc>
        <w:tc>
          <w:tcPr>
            <w:tcW w:w="2208" w:type="dxa"/>
            <w:tcBorders>
              <w:top w:val="nil"/>
              <w:left w:val="nil"/>
              <w:bottom w:val="single" w:color="auto" w:sz="8" w:space="0"/>
              <w:right w:val="single" w:color="auto" w:sz="8" w:space="0"/>
            </w:tcBorders>
            <w:shd w:val="clear" w:color="auto" w:fill="BCBEC2"/>
            <w:tcMar>
              <w:top w:w="60" w:type="dxa"/>
              <w:left w:w="120" w:type="dxa"/>
              <w:bottom w:w="30" w:type="dxa"/>
              <w:right w:w="120" w:type="dxa"/>
            </w:tcMar>
            <w:vAlign w:val="top"/>
          </w:tcPr>
          <w:p w14:paraId="071DD1B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120" w:afterAutospacing="0" w:line="245" w:lineRule="atLeast"/>
              <w:ind w:left="0" w:right="0"/>
            </w:pPr>
            <w:r>
              <w:rPr>
                <w:color w:val="191919"/>
                <w:sz w:val="18"/>
                <w:szCs w:val="18"/>
                <w:bdr w:val="none" w:color="auto" w:sz="0" w:space="0"/>
              </w:rPr>
              <w:t>元模型与模型协同演化工具</w:t>
            </w:r>
          </w:p>
        </w:tc>
      </w:tr>
    </w:tbl>
    <w:p w14:paraId="3376656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cente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表：MIC技术体系中的基本概念和技术实现</w:t>
      </w:r>
    </w:p>
    <w:p w14:paraId="2467685A">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center"/>
        <w:rPr>
          <w:rFonts w:hint="default" w:ascii="PingFang SC" w:hAnsi="PingFang SC" w:eastAsia="PingFang SC" w:cs="PingFang SC"/>
          <w:i w:val="0"/>
          <w:iCs w:val="0"/>
          <w:caps w:val="0"/>
          <w:spacing w:val="0"/>
          <w:sz w:val="0"/>
          <w:szCs w:val="0"/>
        </w:rPr>
      </w:pPr>
      <w:r>
        <w:rPr>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尽管已经取得了巨大的成功，模型集成计算与领域特定建模技术依然面临着诸多挑战。未来的研究将重点聚焦在五个方向：一是提升元模型的组合性与验证能力，解决非正交子语言组合时的约束冲突问题，开发模块化元模型组合机制以支持更灵活的跨领域建模；二是完善模型自动迁移技术，让现有模型能够无缝适配演化后的元模型，避免昂贵的手动重建工作；三是发展可配置的视觉语法，支持同一抽象语法绑定多种具体语法，研究基于条件的动态样式配置和插件化可视化扩展机制；四是开发增量式模型转换与验证技术，避免模型微小变更带来的全量重新处理，提升大规模模型的处理效率；五是提升约束求解器的可移植性，通过模型转换技术和通用抽象层，实现需求到约束问题映射的跨工具、跨领域复用。这些技术的突破，将进一步推动数智化工程在复杂系统开发中的深度应用，让模型真正成为工业数字化转型的核心驱动力。</w:t>
      </w:r>
    </w:p>
    <w:p w14:paraId="19010D6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B6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NUL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2026-06-11T07:19:50Z</dcterms:created>
  <dc:creator>10449</dc:creator>
  <cp:lastModifiedBy>宇航员</cp:lastModifiedBy>
  <dcterms:modified xsi:type="dcterms:W3CDTF">2026-06-11T07:22:44Z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eyJoZGlkIjoiYmEyMGFjZjJiNmRmMTAxYTk1MmJlMzAyZmMyNjcxYTAiLCJ1c2VySWQiOiIzNTY4NzE1NTIifQ==</vt:lpwstr>
  </property>
  <property fmtid="{D5CDD505-2E9C-101B-9397-08002B2CF9AE}" pid="4" name="ICV">
    <vt:lpwstr>EE58BCFEE4DC4C6DA773EDF11837562A_12</vt:lpwstr>
  </property>
</Properties>
</file>