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Rule="exact" w:line="600"/>
        <w:jc w:val="left"/>
      </w:pPr>
      <w:r>
        <w:rPr>
          <w:rFonts w:ascii="Calibri" w:hAnsi="Calibri"/>
          <w:b/>
          <w:i w:val="0"/>
          <w:color w:val="0D0D0D"/>
          <w:sz w:val="44"/>
        </w:rPr>
        <w:t>YUANJUN (JOHNNY) DAI</w:t>
      </w:r>
    </w:p>
    <w:p>
      <w:pPr>
        <w:spacing w:before="0" w:after="80" w:lineRule="exact" w:line="220"/>
        <w:jc w:val="left"/>
      </w:pPr>
      <w:r>
        <w:rPr>
          <w:rFonts w:ascii="Calibri" w:hAnsi="Calibri"/>
          <w:b w:val="0"/>
          <w:i w:val="0"/>
          <w:color w:val="555555"/>
          <w:sz w:val="17"/>
        </w:rPr>
        <w:t>216-269-2394   •   yxd429@case.edu   •   github.com/Johnny-dai-git   •   Cleveland, OH</w:t>
      </w:r>
    </w:p>
    <w:p>
      <w:pPr>
        <w:spacing w:before="40" w:after="40" w:lineRule="exact" w:line="220"/>
        <w:pBdr>
          <w:bottom w:val="single" w:sz="6" w:space="1" w:color="333333"/>
        </w:pBdr>
      </w:pPr>
    </w:p>
    <w:p>
      <w:pPr>
        <w:spacing w:before="120" w:after="60" w:lineRule="exact" w:line="240"/>
        <w:pBdr>
          <w:bottom w:val="single" w:sz="4" w:space="1" w:color="444444"/>
        </w:pBdr>
      </w:pPr>
      <w:r>
        <w:rPr>
          <w:rFonts w:ascii="Calibri" w:hAnsi="Calibri"/>
          <w:b/>
          <w:i w:val="0"/>
          <w:color w:val="0D0D0D"/>
          <w:sz w:val="19"/>
        </w:rPr>
        <w:t>SUMMARY</w:t>
      </w:r>
    </w:p>
    <w:p>
      <w:pPr>
        <w:spacing w:before="0" w:after="80" w:lineRule="exact" w:line="230"/>
        <w:jc w:val="left"/>
      </w:pPr>
      <w:r>
        <w:rPr>
          <w:rFonts w:ascii="Calibri" w:hAnsi="Calibri"/>
          <w:b w:val="0"/>
          <w:i w:val="0"/>
          <w:color w:val="1A1A1A"/>
          <w:sz w:val="17"/>
        </w:rPr>
        <w:t xml:space="preserve">AI Infrastructure Engineer and PhD Candidate at Case Western Reserve University, specializing in distributed ML systems, eBPF-based observability, and large-scale LLM deployment. Published </w:t>
      </w:r>
      <w:r>
        <w:rPr>
          <w:rFonts w:ascii="Calibri" w:hAnsi="Calibri"/>
          <w:b/>
          <w:i w:val="0"/>
          <w:color w:val="1A1A1A"/>
          <w:sz w:val="17"/>
        </w:rPr>
        <w:t>8 research papers (6 first-author)</w:t>
      </w:r>
      <w:r>
        <w:rPr>
          <w:rFonts w:ascii="Calibri" w:hAnsi="Calibri"/>
          <w:b w:val="0"/>
          <w:i w:val="0"/>
          <w:color w:val="1A1A1A"/>
          <w:sz w:val="17"/>
        </w:rPr>
        <w:t xml:space="preserve"> at IEEE, ACM, and Springer venues. 5+ years of industry experience at </w:t>
      </w:r>
      <w:r>
        <w:rPr>
          <w:rFonts w:ascii="Calibri" w:hAnsi="Calibri"/>
          <w:b/>
          <w:i w:val="0"/>
          <w:color w:val="1A1A1A"/>
          <w:sz w:val="17"/>
        </w:rPr>
        <w:t>Cisco</w:t>
      </w:r>
      <w:r>
        <w:rPr>
          <w:rFonts w:ascii="Calibri" w:hAnsi="Calibri"/>
          <w:b w:val="0"/>
          <w:i w:val="0"/>
          <w:color w:val="1A1A1A"/>
          <w:sz w:val="17"/>
        </w:rPr>
        <w:t xml:space="preserve"> and </w:t>
      </w:r>
      <w:r>
        <w:rPr>
          <w:rFonts w:ascii="Calibri" w:hAnsi="Calibri"/>
          <w:b/>
          <w:i w:val="0"/>
          <w:color w:val="1A1A1A"/>
          <w:sz w:val="17"/>
        </w:rPr>
        <w:t>Broadcom</w:t>
      </w:r>
      <w:r>
        <w:rPr>
          <w:rFonts w:ascii="Calibri" w:hAnsi="Calibri"/>
          <w:b w:val="0"/>
          <w:i w:val="0"/>
          <w:color w:val="1A1A1A"/>
          <w:sz w:val="17"/>
        </w:rPr>
        <w:t xml:space="preserve"> in high-performance networking and systems optimization.</w:t>
      </w:r>
    </w:p>
    <w:p>
      <w:pPr>
        <w:spacing w:before="120" w:after="60" w:lineRule="exact" w:line="240"/>
        <w:pBdr>
          <w:bottom w:val="single" w:sz="4" w:space="1" w:color="444444"/>
        </w:pBdr>
      </w:pPr>
      <w:r>
        <w:rPr>
          <w:rFonts w:ascii="Calibri" w:hAnsi="Calibri"/>
          <w:b/>
          <w:i w:val="0"/>
          <w:color w:val="0D0D0D"/>
          <w:sz w:val="19"/>
        </w:rPr>
        <w:t>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7920"/>
        <w:gridCol w:w="2880"/>
      </w:tblGrid>
      <w:tr>
        <w:tc>
          <w:tcPr>
            <w:tcW w:type="dxa" w:w="5400"/>
            <w:tcBdr>
              <w:top w:val="none"/>
              <w:left w:val="none"/>
              <w:bottom w:val="none"/>
              <w:right w:val="none"/>
              <w:insideH w:val="none"/>
              <w:insideV w:val="none"/>
            </w:tcBdr>
          </w:tcPr>
          <w:p>
            <w:pPr>
              <w:spacing w:before="0" w:after="0" w:lineRule="exact" w:line="220"/>
            </w:pPr>
            <w:r>
              <w:rPr>
                <w:rFonts w:ascii="Calibri" w:hAnsi="Calibri"/>
                <w:b/>
                <w:i w:val="0"/>
                <w:color w:val="0D0D0D"/>
                <w:sz w:val="19"/>
              </w:rPr>
              <w:t>Ph.D. Candidate in Computer Science (AI Infrastructure)</w:t>
            </w:r>
          </w:p>
        </w:tc>
        <w:tc>
          <w:tcPr>
            <w:tcW w:type="dxa" w:w="5400"/>
            <w:tcBdr>
              <w:top w:val="none"/>
              <w:left w:val="none"/>
              <w:bottom w:val="none"/>
              <w:right w:val="none"/>
              <w:insideH w:val="none"/>
              <w:insideV w:val="none"/>
            </w:tcBdr>
          </w:tcPr>
          <w:p>
            <w:pPr>
              <w:spacing w:before="0" w:after="0" w:lineRule="exact" w:line="220"/>
              <w:jc w:val="right"/>
            </w:pPr>
            <w:r>
              <w:rPr>
                <w:rFonts w:ascii="Calibri" w:hAnsi="Calibri"/>
                <w:b w:val="0"/>
                <w:i w:val="0"/>
                <w:color w:val="555555"/>
                <w:sz w:val="17"/>
              </w:rPr>
              <w:t>08/2019 – Present</w:t>
            </w:r>
          </w:p>
        </w:tc>
      </w:tr>
    </w:tbl>
    <w:p>
      <w:pPr>
        <w:spacing w:before="20" w:after="40" w:lineRule="exact" w:line="200"/>
      </w:pPr>
      <w:r>
        <w:rPr>
          <w:rFonts w:ascii="Calibri" w:hAnsi="Calibri"/>
          <w:b w:val="0"/>
          <w:i w:val="0"/>
          <w:color w:val="555555"/>
          <w:sz w:val="17"/>
        </w:rPr>
        <w:t>Case Western Reserve University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7920"/>
        <w:gridCol w:w="2880"/>
      </w:tblGrid>
      <w:tr>
        <w:tc>
          <w:tcPr>
            <w:tcW w:type="dxa" w:w="5400"/>
            <w:tcBdr>
              <w:top w:val="none"/>
              <w:left w:val="none"/>
              <w:bottom w:val="none"/>
              <w:right w:val="none"/>
              <w:insideH w:val="none"/>
              <w:insideV w:val="none"/>
            </w:tcBdr>
          </w:tcPr>
          <w:p>
            <w:pPr>
              <w:spacing w:before="0" w:after="0" w:lineRule="exact" w:line="220"/>
            </w:pPr>
            <w:r>
              <w:rPr>
                <w:rFonts w:ascii="Calibri" w:hAnsi="Calibri"/>
                <w:b/>
                <w:i w:val="0"/>
                <w:color w:val="0D0D0D"/>
                <w:sz w:val="19"/>
              </w:rPr>
              <w:t>M.S. in ECE (Computer Microarchitecture)</w:t>
            </w:r>
          </w:p>
        </w:tc>
        <w:tc>
          <w:tcPr>
            <w:tcW w:type="dxa" w:w="5400"/>
            <w:tcBdr>
              <w:top w:val="none"/>
              <w:left w:val="none"/>
              <w:bottom w:val="none"/>
              <w:right w:val="none"/>
              <w:insideH w:val="none"/>
              <w:insideV w:val="none"/>
            </w:tcBdr>
          </w:tcPr>
          <w:p>
            <w:pPr>
              <w:spacing w:before="0" w:after="0" w:lineRule="exact" w:line="220"/>
              <w:jc w:val="right"/>
            </w:pPr>
            <w:r>
              <w:rPr>
                <w:rFonts w:ascii="Calibri" w:hAnsi="Calibri"/>
                <w:b w:val="0"/>
                <w:i w:val="0"/>
                <w:color w:val="555555"/>
                <w:sz w:val="17"/>
              </w:rPr>
            </w:r>
          </w:p>
        </w:tc>
      </w:tr>
    </w:tbl>
    <w:p>
      <w:pPr>
        <w:spacing w:before="20" w:after="40" w:lineRule="exact" w:line="200"/>
      </w:pPr>
      <w:r>
        <w:rPr>
          <w:rFonts w:ascii="Calibri" w:hAnsi="Calibri"/>
          <w:b w:val="0"/>
          <w:i w:val="0"/>
          <w:color w:val="555555"/>
          <w:sz w:val="17"/>
        </w:rPr>
        <w:t>University of Pittsburgh</w:t>
      </w:r>
    </w:p>
    <w:p>
      <w:pPr>
        <w:spacing w:before="120" w:after="60" w:lineRule="exact" w:line="240"/>
        <w:pBdr>
          <w:bottom w:val="single" w:sz="4" w:space="1" w:color="444444"/>
        </w:pBdr>
      </w:pPr>
      <w:r>
        <w:rPr>
          <w:rFonts w:ascii="Calibri" w:hAnsi="Calibri"/>
          <w:b/>
          <w:i w:val="0"/>
          <w:color w:val="0D0D0D"/>
          <w:sz w:val="19"/>
        </w:rPr>
        <w:t>RESEARCH &amp; SYSTEMS ENGINEERING EXPERIENCE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7920"/>
        <w:gridCol w:w="2880"/>
      </w:tblGrid>
      <w:tr>
        <w:tc>
          <w:tcPr>
            <w:tcW w:type="dxa" w:w="5400"/>
            <w:tcBdr>
              <w:top w:val="none"/>
              <w:left w:val="none"/>
              <w:bottom w:val="none"/>
              <w:right w:val="none"/>
              <w:insideH w:val="none"/>
              <w:insideV w:val="none"/>
            </w:tcBdr>
          </w:tcPr>
          <w:p>
            <w:pPr>
              <w:spacing w:before="0" w:after="0" w:lineRule="exact" w:line="220"/>
            </w:pPr>
            <w:r>
              <w:rPr>
                <w:rFonts w:ascii="Calibri" w:hAnsi="Calibri"/>
                <w:b/>
                <w:i w:val="0"/>
                <w:color w:val="0D0D0D"/>
                <w:sz w:val="19"/>
              </w:rPr>
              <w:t>Research Assistant, AI Infrastructure &amp; ML Systems</w:t>
            </w:r>
          </w:p>
        </w:tc>
        <w:tc>
          <w:tcPr>
            <w:tcW w:type="dxa" w:w="5400"/>
            <w:tcBdr>
              <w:top w:val="none"/>
              <w:left w:val="none"/>
              <w:bottom w:val="none"/>
              <w:right w:val="none"/>
              <w:insideH w:val="none"/>
              <w:insideV w:val="none"/>
            </w:tcBdr>
          </w:tcPr>
          <w:p>
            <w:pPr>
              <w:spacing w:before="0" w:after="0" w:lineRule="exact" w:line="220"/>
              <w:jc w:val="right"/>
            </w:pPr>
            <w:r>
              <w:rPr>
                <w:rFonts w:ascii="Calibri" w:hAnsi="Calibri"/>
                <w:b w:val="0"/>
                <w:i w:val="0"/>
                <w:color w:val="555555"/>
                <w:sz w:val="17"/>
              </w:rPr>
            </w:r>
          </w:p>
        </w:tc>
      </w:tr>
    </w:tbl>
    <w:p>
      <w:pPr>
        <w:spacing w:before="20" w:after="40" w:lineRule="exact" w:line="200"/>
      </w:pPr>
      <w:r>
        <w:rPr>
          <w:rFonts w:ascii="Calibri" w:hAnsi="Calibri"/>
          <w:b w:val="0"/>
          <w:i w:val="0"/>
          <w:color w:val="555555"/>
          <w:sz w:val="17"/>
        </w:rPr>
        <w:t>Case Western Reserve University</w:t>
      </w:r>
    </w:p>
    <w:p>
      <w:pPr>
        <w:pStyle w:val="ListBullet"/>
        <w:spacing w:before="0" w:after="60" w:lineRule="exact" w:line="220"/>
        <w:ind w:left="259" w:hanging="187"/>
      </w:pPr>
      <w:r>
        <w:rPr>
          <w:rFonts w:ascii="Calibri" w:hAnsi="Calibri"/>
          <w:b/>
          <w:i w:val="0"/>
          <w:color w:val="1A1A1A"/>
          <w:sz w:val="17"/>
        </w:rPr>
        <w:t>DYNAMIX – RL-Based Adaptive Batch Scheduling for Distributed ML</w:t>
      </w:r>
      <w:r>
        <w:rPr>
          <w:rFonts w:ascii="Calibri" w:hAnsi="Calibri"/>
          <w:b w:val="0"/>
          <w:i w:val="0"/>
          <w:color w:val="1A1A1A"/>
          <w:sz w:val="17"/>
        </w:rPr>
        <w:t xml:space="preserve">  |  </w:t>
      </w:r>
      <w:hyperlink r:id="rId9">
        <w:r>
          <w:rPr>
            <w:rFonts w:ascii="Calibri"/>
            <w:sz w:val="17"/>
            <w:color w:val="2A5AAA"/>
            <w:u w:val="single"/>
          </w:rPr>
          <w:t>Paper</w:t>
        </w:r>
      </w:hyperlink>
      <w:r>
        <w:rPr>
          <w:rFonts w:ascii="Calibri" w:hAnsi="Calibri"/>
          <w:b w:val="0"/>
          <w:i w:val="0"/>
          <w:color w:val="1A1A1A"/>
          <w:sz w:val="17"/>
        </w:rPr>
        <w:t xml:space="preserve"> / </w:t>
      </w:r>
      <w:hyperlink r:id="rId10">
        <w:r>
          <w:rPr>
            <w:rFonts w:ascii="Calibri"/>
            <w:sz w:val="17"/>
            <w:color w:val="2A5AAA"/>
            <w:u w:val="single"/>
          </w:rPr>
          <w:t>Code</w:t>
        </w:r>
      </w:hyperlink>
      <w:r>
        <w:rPr>
          <w:rFonts w:ascii="Calibri" w:hAnsi="Calibri"/>
          <w:b w:val="0"/>
          <w:i w:val="0"/>
          <w:color w:val="1A1A1A"/>
          <w:sz w:val="17"/>
        </w:rPr>
        <w:br/>
        <w:t xml:space="preserve">Designed a system-signal-driven RL scheduler (BytePS, PyTorch DDP, TensorFlow) achieving </w:t>
      </w:r>
      <w:r>
        <w:rPr>
          <w:rFonts w:ascii="Calibri" w:hAnsi="Calibri"/>
          <w:b/>
          <w:i w:val="0"/>
          <w:color w:val="1A1A1A"/>
          <w:sz w:val="17"/>
        </w:rPr>
        <w:t>46% end-to-end training speedup</w:t>
      </w:r>
      <w:r>
        <w:rPr>
          <w:rFonts w:ascii="Calibri" w:hAnsi="Calibri"/>
          <w:b w:val="0"/>
          <w:i w:val="0"/>
          <w:color w:val="1A1A1A"/>
          <w:sz w:val="17"/>
        </w:rPr>
        <w:t xml:space="preserve"> on 32+ nodes across HPC and cloud environments.</w:t>
      </w:r>
    </w:p>
    <w:p>
      <w:pPr>
        <w:pStyle w:val="ListBullet"/>
        <w:spacing w:before="0" w:after="60" w:lineRule="exact" w:line="220"/>
        <w:ind w:left="259" w:hanging="187"/>
      </w:pPr>
      <w:r>
        <w:rPr>
          <w:rFonts w:ascii="Calibri" w:hAnsi="Calibri"/>
          <w:b/>
          <w:i w:val="0"/>
          <w:color w:val="1A1A1A"/>
          <w:sz w:val="17"/>
        </w:rPr>
        <w:t>PRISM – Priority-Aware Transport for Distributed ML Training</w:t>
      </w:r>
      <w:r>
        <w:rPr>
          <w:rFonts w:ascii="Calibri" w:hAnsi="Calibri"/>
          <w:b w:val="0"/>
          <w:i w:val="0"/>
          <w:color w:val="1A1A1A"/>
          <w:sz w:val="17"/>
        </w:rPr>
        <w:t xml:space="preserve">  |  </w:t>
      </w:r>
      <w:hyperlink r:id="rId11">
        <w:r>
          <w:rPr>
            <w:rFonts w:ascii="Calibri"/>
            <w:sz w:val="17"/>
            <w:color w:val="2A5AAA"/>
            <w:u w:val="single"/>
          </w:rPr>
          <w:t>Paper</w:t>
        </w:r>
      </w:hyperlink>
      <w:r>
        <w:rPr>
          <w:rFonts w:ascii="Calibri" w:hAnsi="Calibri"/>
          <w:b w:val="0"/>
          <w:i w:val="0"/>
          <w:color w:val="1A1A1A"/>
          <w:sz w:val="17"/>
        </w:rPr>
        <w:t xml:space="preserve"> (Under Review)</w:t>
      </w:r>
      <w:r>
        <w:rPr>
          <w:rFonts w:ascii="Calibri" w:hAnsi="Calibri"/>
          <w:b w:val="0"/>
          <w:i w:val="0"/>
          <w:color w:val="1A1A1A"/>
          <w:sz w:val="17"/>
        </w:rPr>
        <w:br/>
        <w:t xml:space="preserve">Built a selective-reliability transport protocol; achieved </w:t>
      </w:r>
      <w:r>
        <w:rPr>
          <w:rFonts w:ascii="Calibri" w:hAnsi="Calibri"/>
          <w:b/>
          <w:i w:val="0"/>
          <w:color w:val="1A1A1A"/>
          <w:sz w:val="17"/>
        </w:rPr>
        <w:t>8–21% training throughput improvement</w:t>
      </w:r>
      <w:r>
        <w:rPr>
          <w:rFonts w:ascii="Calibri" w:hAnsi="Calibri"/>
          <w:b w:val="0"/>
          <w:i w:val="0"/>
          <w:color w:val="1A1A1A"/>
          <w:sz w:val="17"/>
        </w:rPr>
        <w:t xml:space="preserve"> under 1% packet loss on 32 GPUs with near-zero convergence loss.</w:t>
      </w:r>
    </w:p>
    <w:p>
      <w:pPr>
        <w:pStyle w:val="ListBullet"/>
        <w:spacing w:before="0" w:after="60" w:lineRule="exact" w:line="220"/>
        <w:ind w:left="259" w:hanging="187"/>
      </w:pPr>
      <w:r>
        <w:rPr>
          <w:rFonts w:ascii="Calibri" w:hAnsi="Calibri"/>
          <w:b/>
          <w:i w:val="0"/>
          <w:color w:val="1A1A1A"/>
          <w:sz w:val="17"/>
        </w:rPr>
        <w:t>Training-Time Side-Channel Attacks on Distributed ML Systems</w:t>
      </w:r>
      <w:r>
        <w:rPr>
          <w:rFonts w:ascii="Calibri" w:hAnsi="Calibri"/>
          <w:b w:val="0"/>
          <w:i w:val="0"/>
          <w:color w:val="1A1A1A"/>
          <w:sz w:val="17"/>
        </w:rPr>
        <w:t xml:space="preserve">  |  </w:t>
      </w:r>
      <w:hyperlink r:id="rId12">
        <w:r>
          <w:rPr>
            <w:rFonts w:ascii="Calibri"/>
            <w:sz w:val="17"/>
            <w:color w:val="2A5AAA"/>
            <w:u w:val="single"/>
          </w:rPr>
          <w:t>Paper</w:t>
        </w:r>
      </w:hyperlink>
      <w:r>
        <w:rPr>
          <w:rFonts w:ascii="Calibri" w:hAnsi="Calibri"/>
          <w:b w:val="0"/>
          <w:i w:val="0"/>
          <w:color w:val="1A1A1A"/>
          <w:sz w:val="17"/>
        </w:rPr>
        <w:t xml:space="preserve"> / </w:t>
      </w:r>
      <w:hyperlink r:id="rId13">
        <w:r>
          <w:rPr>
            <w:rFonts w:ascii="Calibri"/>
            <w:sz w:val="17"/>
            <w:color w:val="2A5AAA"/>
            <w:u w:val="single"/>
          </w:rPr>
          <w:t>Code</w:t>
        </w:r>
      </w:hyperlink>
      <w:r>
        <w:rPr>
          <w:rFonts w:ascii="Calibri" w:hAnsi="Calibri"/>
          <w:b w:val="0"/>
          <w:i w:val="0"/>
          <w:color w:val="1A1A1A"/>
          <w:sz w:val="17"/>
        </w:rPr>
        <w:br/>
        <w:t xml:space="preserve">Instrumented MXNet BSP training via Intel RAPL telemetry; achieved </w:t>
      </w:r>
      <w:r>
        <w:rPr>
          <w:rFonts w:ascii="Calibri" w:hAnsi="Calibri"/>
          <w:b/>
          <w:i w:val="0"/>
          <w:color w:val="1A1A1A"/>
          <w:sz w:val="17"/>
        </w:rPr>
        <w:t>&gt;99% layer-type accuracy and &lt;1.5% tensor-size error</w:t>
      </w:r>
      <w:r>
        <w:rPr>
          <w:rFonts w:ascii="Calibri" w:hAnsi="Calibri"/>
          <w:b w:val="0"/>
          <w:i w:val="0"/>
          <w:color w:val="1A1A1A"/>
          <w:sz w:val="17"/>
        </w:rPr>
        <w:t xml:space="preserve"> in model reconstruction, exposing actionable MLaaS attack surfaces.</w:t>
      </w:r>
    </w:p>
    <w:p>
      <w:pPr>
        <w:pStyle w:val="ListBullet"/>
        <w:spacing w:before="0" w:after="60" w:lineRule="exact" w:line="220"/>
        <w:ind w:left="259" w:hanging="187"/>
      </w:pPr>
      <w:r>
        <w:rPr>
          <w:rFonts w:ascii="Calibri" w:hAnsi="Calibri"/>
          <w:b/>
          <w:i w:val="0"/>
          <w:color w:val="1A1A1A"/>
          <w:sz w:val="17"/>
        </w:rPr>
        <w:t>Priority-Based eBPF Network Flow Telemetry for AI / DML Infrastructure</w:t>
      </w:r>
      <w:r>
        <w:rPr>
          <w:rFonts w:ascii="Calibri" w:hAnsi="Calibri"/>
          <w:b w:val="0"/>
          <w:i w:val="0"/>
          <w:color w:val="1A1A1A"/>
          <w:sz w:val="17"/>
        </w:rPr>
        <w:t xml:space="preserve">  |  </w:t>
      </w:r>
      <w:hyperlink r:id="rId14">
        <w:r>
          <w:rPr>
            <w:rFonts w:ascii="Calibri"/>
            <w:sz w:val="17"/>
            <w:color w:val="2A5AAA"/>
            <w:u w:val="single"/>
          </w:rPr>
          <w:t>Paper</w:t>
        </w:r>
      </w:hyperlink>
      <w:r>
        <w:rPr>
          <w:rFonts w:ascii="Calibri" w:hAnsi="Calibri"/>
          <w:b w:val="0"/>
          <w:i w:val="0"/>
          <w:color w:val="1A1A1A"/>
          <w:sz w:val="17"/>
        </w:rPr>
        <w:t xml:space="preserve"> / </w:t>
      </w:r>
      <w:hyperlink r:id="rId15">
        <w:r>
          <w:rPr>
            <w:rFonts w:ascii="Calibri"/>
            <w:sz w:val="17"/>
            <w:color w:val="2A5AAA"/>
            <w:u w:val="single"/>
          </w:rPr>
          <w:t>Code</w:t>
        </w:r>
      </w:hyperlink>
      <w:r>
        <w:rPr>
          <w:rFonts w:ascii="Calibri" w:hAnsi="Calibri"/>
          <w:b w:val="0"/>
          <w:i w:val="0"/>
          <w:color w:val="1A1A1A"/>
          <w:sz w:val="17"/>
        </w:rPr>
        <w:br/>
        <w:t xml:space="preserve">Built a priority-aware eBPF telemetry system; achieved </w:t>
      </w:r>
      <w:r>
        <w:rPr>
          <w:rFonts w:ascii="Calibri" w:hAnsi="Calibri"/>
          <w:b/>
          <w:i w:val="0"/>
          <w:color w:val="1A1A1A"/>
          <w:sz w:val="17"/>
        </w:rPr>
        <w:t>96% Top-K accuracy, 100% priority-packet recall</w:t>
      </w:r>
      <w:r>
        <w:rPr>
          <w:rFonts w:ascii="Calibri" w:hAnsi="Calibri"/>
          <w:b w:val="0"/>
          <w:i w:val="0"/>
          <w:color w:val="1A1A1A"/>
          <w:sz w:val="17"/>
        </w:rPr>
        <w:t>, and &lt;1.1% throughput overhead at 10 Gbps.</w:t>
      </w:r>
    </w:p>
    <w:p>
      <w:pPr>
        <w:pStyle w:val="ListBullet"/>
        <w:spacing w:before="0" w:after="60" w:lineRule="exact" w:line="220"/>
        <w:ind w:left="259" w:hanging="187"/>
      </w:pPr>
      <w:r>
        <w:rPr>
          <w:rFonts w:ascii="Calibri" w:hAnsi="Calibri"/>
          <w:b/>
          <w:i w:val="0"/>
          <w:color w:val="1A1A1A"/>
          <w:sz w:val="17"/>
        </w:rPr>
        <w:t>High-Resolution eBPF System Resource Profiling for DML Workloads</w:t>
      </w:r>
      <w:r>
        <w:rPr>
          <w:rFonts w:ascii="Calibri" w:hAnsi="Calibri"/>
          <w:b w:val="0"/>
          <w:i w:val="0"/>
          <w:color w:val="1A1A1A"/>
          <w:sz w:val="17"/>
        </w:rPr>
        <w:t xml:space="preserve">  |  </w:t>
      </w:r>
      <w:hyperlink r:id="rId16">
        <w:r>
          <w:rPr>
            <w:rFonts w:ascii="Calibri"/>
            <w:sz w:val="17"/>
            <w:color w:val="2A5AAA"/>
            <w:u w:val="single"/>
          </w:rPr>
          <w:t>Paper</w:t>
        </w:r>
      </w:hyperlink>
      <w:r>
        <w:rPr>
          <w:rFonts w:ascii="Calibri" w:hAnsi="Calibri"/>
          <w:b w:val="0"/>
          <w:i w:val="0"/>
          <w:color w:val="1A1A1A"/>
          <w:sz w:val="17"/>
        </w:rPr>
        <w:t xml:space="preserve"> / </w:t>
      </w:r>
      <w:hyperlink r:id="rId17">
        <w:r>
          <w:rPr>
            <w:rFonts w:ascii="Calibri"/>
            <w:sz w:val="17"/>
            <w:color w:val="2A5AAA"/>
            <w:u w:val="single"/>
          </w:rPr>
          <w:t>Code</w:t>
        </w:r>
      </w:hyperlink>
      <w:r>
        <w:rPr>
          <w:rFonts w:ascii="Calibri" w:hAnsi="Calibri"/>
          <w:b w:val="0"/>
          <w:i w:val="0"/>
          <w:color w:val="1A1A1A"/>
          <w:sz w:val="17"/>
        </w:rPr>
        <w:br/>
        <w:t xml:space="preserve">Developed a per-PID eBPF profiler delivering </w:t>
      </w:r>
      <w:r>
        <w:rPr>
          <w:rFonts w:ascii="Calibri" w:hAnsi="Calibri"/>
          <w:b/>
          <w:i w:val="0"/>
          <w:color w:val="1A1A1A"/>
          <w:sz w:val="17"/>
        </w:rPr>
        <w:t>10–14× finer temporal resolution</w:t>
      </w:r>
      <w:r>
        <w:rPr>
          <w:rFonts w:ascii="Calibri" w:hAnsi="Calibri"/>
          <w:b w:val="0"/>
          <w:i w:val="0"/>
          <w:color w:val="1A1A1A"/>
          <w:sz w:val="17"/>
        </w:rPr>
        <w:t xml:space="preserve"> than top/htop, ~11 ms latency, and &gt;90% Top-K fidelity.</w:t>
      </w:r>
    </w:p>
    <w:p>
      <w:pPr>
        <w:pStyle w:val="ListBullet"/>
        <w:spacing w:before="0" w:after="60" w:lineRule="exact" w:line="220"/>
        <w:ind w:left="259" w:hanging="187"/>
      </w:pPr>
      <w:r>
        <w:rPr>
          <w:rFonts w:ascii="Calibri" w:hAnsi="Calibri"/>
          <w:b/>
          <w:i w:val="0"/>
          <w:color w:val="1A1A1A"/>
          <w:sz w:val="17"/>
        </w:rPr>
        <w:t>Scotch – Elastic SDN Overlay for Control-Plane Scalability</w:t>
      </w:r>
      <w:r>
        <w:rPr>
          <w:rFonts w:ascii="Calibri" w:hAnsi="Calibri"/>
          <w:b w:val="0"/>
          <w:i w:val="0"/>
          <w:color w:val="1A1A1A"/>
          <w:sz w:val="17"/>
        </w:rPr>
        <w:t xml:space="preserve">  |  </w:t>
      </w:r>
      <w:hyperlink r:id="rId18">
        <w:r>
          <w:rPr>
            <w:rFonts w:ascii="Calibri"/>
            <w:sz w:val="17"/>
            <w:color w:val="2A5AAA"/>
            <w:u w:val="single"/>
          </w:rPr>
          <w:t>Paper</w:t>
        </w:r>
      </w:hyperlink>
      <w:r>
        <w:rPr>
          <w:rFonts w:ascii="Calibri" w:hAnsi="Calibri"/>
          <w:b w:val="0"/>
          <w:i w:val="0"/>
          <w:color w:val="1A1A1A"/>
          <w:sz w:val="17"/>
        </w:rPr>
        <w:t xml:space="preserve"> / </w:t>
      </w:r>
      <w:hyperlink r:id="rId19">
        <w:r>
          <w:rPr>
            <w:rFonts w:ascii="Calibri"/>
            <w:sz w:val="17"/>
            <w:color w:val="2A5AAA"/>
            <w:u w:val="single"/>
          </w:rPr>
          <w:t>Code</w:t>
        </w:r>
      </w:hyperlink>
      <w:r>
        <w:rPr>
          <w:rFonts w:ascii="Calibri" w:hAnsi="Calibri"/>
          <w:b w:val="0"/>
          <w:i w:val="0"/>
          <w:color w:val="1A1A1A"/>
          <w:sz w:val="17"/>
        </w:rPr>
        <w:br/>
        <w:t xml:space="preserve">Designed a distributed control-plane overlay; </w:t>
      </w:r>
      <w:r>
        <w:rPr>
          <w:rFonts w:ascii="Calibri" w:hAnsi="Calibri"/>
          <w:b/>
          <w:i w:val="0"/>
          <w:color w:val="1A1A1A"/>
          <w:sz w:val="17"/>
        </w:rPr>
        <w:t>reduced controller congestion by &gt;70%</w:t>
      </w:r>
      <w:r>
        <w:rPr>
          <w:rFonts w:ascii="Calibri" w:hAnsi="Calibri"/>
          <w:b w:val="0"/>
          <w:i w:val="0"/>
          <w:color w:val="1A1A1A"/>
          <w:sz w:val="17"/>
        </w:rPr>
        <w:t xml:space="preserve"> on a 34-node GENI Clos topology.</w:t>
      </w:r>
    </w:p>
    <w:p>
      <w:pPr>
        <w:pStyle w:val="ListBullet"/>
        <w:spacing w:before="0" w:after="60" w:lineRule="exact" w:line="220"/>
        <w:ind w:left="259" w:hanging="187"/>
      </w:pPr>
      <w:r>
        <w:rPr>
          <w:rFonts w:ascii="Calibri" w:hAnsi="Calibri"/>
          <w:b/>
          <w:i w:val="0"/>
          <w:color w:val="1A1A1A"/>
          <w:sz w:val="17"/>
        </w:rPr>
        <w:t>Enterprise-Grade LLM Production Deployment Platform on Kubernetes</w:t>
      </w:r>
      <w:r>
        <w:rPr>
          <w:rFonts w:ascii="Calibri" w:hAnsi="Calibri"/>
          <w:b w:val="0"/>
          <w:i w:val="0"/>
          <w:color w:val="1A1A1A"/>
          <w:sz w:val="17"/>
        </w:rPr>
        <w:t xml:space="preserve">  |  </w:t>
      </w:r>
      <w:hyperlink r:id="rId20">
        <w:r>
          <w:rPr>
            <w:rFonts w:ascii="Calibri"/>
            <w:sz w:val="17"/>
            <w:color w:val="2A5AAA"/>
            <w:u w:val="single"/>
          </w:rPr>
          <w:t>Code</w:t>
        </w:r>
      </w:hyperlink>
      <w:r>
        <w:rPr>
          <w:rFonts w:ascii="Calibri" w:hAnsi="Calibri"/>
          <w:b w:val="0"/>
          <w:i w:val="0"/>
          <w:color w:val="1A1A1A"/>
          <w:sz w:val="17"/>
        </w:rPr>
        <w:br/>
        <w:t xml:space="preserve">Built a K8s microservices platform (Gateway / Router / Worker) with vLLM and TensorRT-LLM, ArgoCD GitOps, Prometheus/Grafana, and CI/CD across </w:t>
      </w:r>
      <w:r>
        <w:rPr>
          <w:rFonts w:ascii="Calibri" w:hAnsi="Calibri"/>
          <w:b/>
          <w:i w:val="0"/>
          <w:color w:val="1A1A1A"/>
          <w:sz w:val="17"/>
        </w:rPr>
        <w:t>50+ Kubernetes deployments</w:t>
      </w:r>
      <w:r>
        <w:rPr>
          <w:rFonts w:ascii="Calibri" w:hAnsi="Calibri"/>
          <w:b w:val="0"/>
          <w:i w:val="0"/>
          <w:color w:val="1A1A1A"/>
          <w:sz w:val="17"/>
        </w:rPr>
        <w:t>.</w:t>
      </w:r>
    </w:p>
    <w:p>
      <w:pPr>
        <w:pStyle w:val="ListBullet"/>
        <w:spacing w:before="0" w:after="60" w:lineRule="exact" w:line="220"/>
        <w:ind w:left="259" w:hanging="187"/>
      </w:pPr>
      <w:r>
        <w:rPr>
          <w:rFonts w:ascii="Calibri" w:hAnsi="Calibri"/>
          <w:b/>
          <w:i w:val="0"/>
          <w:color w:val="1A1A1A"/>
          <w:sz w:val="17"/>
        </w:rPr>
        <w:t>Domain-Adapted LLMs for Clinical Risk Adjustment Coding</w:t>
      </w:r>
      <w:r>
        <w:rPr>
          <w:rFonts w:ascii="Calibri" w:hAnsi="Calibri"/>
          <w:b w:val="0"/>
          <w:i w:val="0"/>
          <w:color w:val="1A1A1A"/>
          <w:sz w:val="17"/>
        </w:rPr>
        <w:t xml:space="preserve">  |  </w:t>
      </w:r>
      <w:hyperlink r:id="rId21">
        <w:r>
          <w:rPr>
            <w:rFonts w:ascii="Calibri"/>
            <w:sz w:val="17"/>
            <w:color w:val="2A5AAA"/>
            <w:u w:val="single"/>
          </w:rPr>
          <w:t>Paper</w:t>
        </w:r>
      </w:hyperlink>
      <w:r>
        <w:rPr>
          <w:rFonts w:ascii="Calibri" w:hAnsi="Calibri"/>
          <w:b w:val="0"/>
          <w:i w:val="0"/>
          <w:color w:val="1A1A1A"/>
          <w:sz w:val="17"/>
        </w:rPr>
        <w:br/>
        <w:t xml:space="preserve">Fine-tuned PubMedBERT and Qwen-7B for HCC coding; achieved </w:t>
      </w:r>
      <w:r>
        <w:rPr>
          <w:rFonts w:ascii="Calibri" w:hAnsi="Calibri"/>
          <w:b/>
          <w:i w:val="0"/>
          <w:color w:val="1A1A1A"/>
          <w:sz w:val="17"/>
        </w:rPr>
        <w:t>macro-/micro-F1 of 0.775/0.742 and 0.81/0.802</w:t>
      </w:r>
      <w:r>
        <w:rPr>
          <w:rFonts w:ascii="Calibri" w:hAnsi="Calibri"/>
          <w:b w:val="0"/>
          <w:i w:val="0"/>
          <w:color w:val="1A1A1A"/>
          <w:sz w:val="17"/>
        </w:rPr>
        <w:t xml:space="preserve"> on MIMIC-IV.</w:t>
      </w:r>
    </w:p>
    <w:p>
      <w:pPr>
        <w:pStyle w:val="ListBullet"/>
        <w:spacing w:before="0" w:after="60" w:lineRule="exact" w:line="220"/>
        <w:ind w:left="259" w:hanging="187"/>
      </w:pPr>
      <w:r>
        <w:rPr>
          <w:rFonts w:ascii="Calibri" w:hAnsi="Calibri"/>
          <w:b/>
          <w:i w:val="0"/>
          <w:color w:val="1A1A1A"/>
          <w:sz w:val="17"/>
        </w:rPr>
        <w:t>BiLSTM-Based Side-Channel Modeling for Distributed ML Analysis</w:t>
      </w:r>
      <w:r>
        <w:rPr>
          <w:rFonts w:ascii="Calibri" w:hAnsi="Calibri"/>
          <w:b w:val="0"/>
          <w:i w:val="0"/>
          <w:color w:val="1A1A1A"/>
          <w:sz w:val="17"/>
        </w:rPr>
        <w:t xml:space="preserve">  |  </w:t>
      </w:r>
      <w:hyperlink r:id="rId22">
        <w:r>
          <w:rPr>
            <w:rFonts w:ascii="Calibri"/>
            <w:sz w:val="17"/>
            <w:color w:val="2A5AAA"/>
            <w:u w:val="single"/>
          </w:rPr>
          <w:t>Paper</w:t>
        </w:r>
      </w:hyperlink>
      <w:r>
        <w:rPr>
          <w:rFonts w:ascii="Calibri" w:hAnsi="Calibri"/>
          <w:b w:val="0"/>
          <w:i w:val="0"/>
          <w:color w:val="1A1A1A"/>
          <w:sz w:val="17"/>
        </w:rPr>
        <w:br/>
        <w:t>Designed a BiLSTM pipeline aligning CPU/memory energy traces with per-layer timestamps; reliably distinguishes Conv, FC, and activation layers using ensemble learning.</w:t>
      </w:r>
    </w:p>
    <w:p>
      <w:pPr>
        <w:spacing w:before="120" w:after="60" w:lineRule="exact" w:line="240"/>
        <w:pBdr>
          <w:bottom w:val="single" w:sz="4" w:space="1" w:color="444444"/>
        </w:pBdr>
      </w:pPr>
      <w:r>
        <w:rPr>
          <w:rFonts w:ascii="Calibri" w:hAnsi="Calibri"/>
          <w:b/>
          <w:i w:val="0"/>
          <w:color w:val="0D0D0D"/>
          <w:sz w:val="19"/>
        </w:rPr>
        <w:t>INDUSTRY EXPERIENCE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7920"/>
        <w:gridCol w:w="2880"/>
      </w:tblGrid>
      <w:tr>
        <w:tc>
          <w:tcPr>
            <w:tcW w:type="dxa" w:w="5400"/>
            <w:tcBdr>
              <w:top w:val="none"/>
              <w:left w:val="none"/>
              <w:bottom w:val="none"/>
              <w:right w:val="none"/>
              <w:insideH w:val="none"/>
              <w:insideV w:val="none"/>
            </w:tcBdr>
          </w:tcPr>
          <w:p>
            <w:pPr>
              <w:spacing w:before="0" w:after="0" w:lineRule="exact" w:line="220"/>
            </w:pPr>
            <w:r>
              <w:rPr>
                <w:rFonts w:ascii="Calibri" w:hAnsi="Calibri"/>
                <w:b/>
                <w:i w:val="0"/>
                <w:color w:val="0D0D0D"/>
                <w:sz w:val="19"/>
              </w:rPr>
              <w:t>Software Engineer II</w:t>
            </w:r>
          </w:p>
        </w:tc>
        <w:tc>
          <w:tcPr>
            <w:tcW w:type="dxa" w:w="5400"/>
            <w:tcBdr>
              <w:top w:val="none"/>
              <w:left w:val="none"/>
              <w:bottom w:val="none"/>
              <w:right w:val="none"/>
              <w:insideH w:val="none"/>
              <w:insideV w:val="none"/>
            </w:tcBdr>
          </w:tcPr>
          <w:p>
            <w:pPr>
              <w:spacing w:before="0" w:after="0" w:lineRule="exact" w:line="220"/>
              <w:jc w:val="right"/>
            </w:pPr>
            <w:r>
              <w:rPr>
                <w:rFonts w:ascii="Calibri" w:hAnsi="Calibri"/>
                <w:b w:val="0"/>
                <w:i w:val="0"/>
                <w:color w:val="555555"/>
                <w:sz w:val="17"/>
              </w:rPr>
              <w:t>06/2015 – 08/2016</w:t>
            </w:r>
          </w:p>
        </w:tc>
      </w:tr>
    </w:tbl>
    <w:p>
      <w:pPr>
        <w:spacing w:before="20" w:after="40" w:lineRule="exact" w:line="200"/>
      </w:pPr>
      <w:r>
        <w:rPr>
          <w:rFonts w:ascii="Calibri" w:hAnsi="Calibri"/>
          <w:b w:val="0"/>
          <w:i w:val="0"/>
          <w:color w:val="555555"/>
          <w:sz w:val="17"/>
        </w:rPr>
        <w:t>Cisco Systems, Inc.</w:t>
      </w:r>
    </w:p>
    <w:p>
      <w:pPr>
        <w:pStyle w:val="ListBullet"/>
        <w:spacing w:before="0" w:after="80" w:lineRule="exact" w:line="220"/>
        <w:ind w:left="259" w:hanging="187"/>
      </w:pPr>
      <w:r>
        <w:rPr>
          <w:rFonts w:ascii="Calibri" w:hAnsi="Calibri"/>
          <w:b w:val="0"/>
          <w:i w:val="0"/>
          <w:color w:val="1A1A1A"/>
          <w:sz w:val="17"/>
        </w:rPr>
        <w:t xml:space="preserve">Developed NPU/ASIC features for a 100 Gbps core router serving hyperscalers (Azure, AWS, Alibaba Cloud) using Broadcom BCM SDK; contributed to QoS and ECMP modules, </w:t>
      </w:r>
      <w:r>
        <w:rPr>
          <w:rFonts w:ascii="Calibri" w:hAnsi="Calibri"/>
          <w:b/>
          <w:i w:val="0"/>
          <w:color w:val="1A1A1A"/>
          <w:sz w:val="17"/>
        </w:rPr>
        <w:t>reducing forwarding latency by ~10%</w:t>
      </w:r>
      <w:r>
        <w:rPr>
          <w:rFonts w:ascii="Calibri" w:hAnsi="Calibri"/>
          <w:b w:val="0"/>
          <w:i w:val="0"/>
          <w:color w:val="1A1A1A"/>
          <w:sz w:val="17"/>
        </w:rPr>
        <w:t xml:space="preserve"> under heavy load.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7920"/>
        <w:gridCol w:w="2880"/>
      </w:tblGrid>
      <w:tr>
        <w:tc>
          <w:tcPr>
            <w:tcW w:type="dxa" w:w="5400"/>
            <w:tcBdr>
              <w:top w:val="none"/>
              <w:left w:val="none"/>
              <w:bottom w:val="none"/>
              <w:right w:val="none"/>
              <w:insideH w:val="none"/>
              <w:insideV w:val="none"/>
            </w:tcBdr>
          </w:tcPr>
          <w:p>
            <w:pPr>
              <w:spacing w:before="0" w:after="0" w:lineRule="exact" w:line="220"/>
            </w:pPr>
            <w:r>
              <w:rPr>
                <w:rFonts w:ascii="Calibri" w:hAnsi="Calibri"/>
                <w:b/>
                <w:i w:val="0"/>
                <w:color w:val="0D0D0D"/>
                <w:sz w:val="19"/>
              </w:rPr>
              <w:t>Applied Research Engineer</w:t>
            </w:r>
          </w:p>
        </w:tc>
        <w:tc>
          <w:tcPr>
            <w:tcW w:type="dxa" w:w="5400"/>
            <w:tcBdr>
              <w:top w:val="none"/>
              <w:left w:val="none"/>
              <w:bottom w:val="none"/>
              <w:right w:val="none"/>
              <w:insideH w:val="none"/>
              <w:insideV w:val="none"/>
            </w:tcBdr>
          </w:tcPr>
          <w:p>
            <w:pPr>
              <w:spacing w:before="0" w:after="0" w:lineRule="exact" w:line="220"/>
              <w:jc w:val="right"/>
            </w:pPr>
            <w:r>
              <w:rPr>
                <w:rFonts w:ascii="Calibri" w:hAnsi="Calibri"/>
                <w:b w:val="0"/>
                <w:i w:val="0"/>
                <w:color w:val="555555"/>
                <w:sz w:val="17"/>
              </w:rPr>
              <w:t>09/2016 – 06/2018</w:t>
            </w:r>
          </w:p>
        </w:tc>
      </w:tr>
    </w:tbl>
    <w:p>
      <w:pPr>
        <w:spacing w:before="20" w:after="40" w:lineRule="exact" w:line="200"/>
      </w:pPr>
      <w:r>
        <w:rPr>
          <w:rFonts w:ascii="Calibri" w:hAnsi="Calibri"/>
          <w:b w:val="0"/>
          <w:i w:val="0"/>
          <w:color w:val="555555"/>
          <w:sz w:val="17"/>
        </w:rPr>
        <w:t>Midea Group</w:t>
      </w:r>
    </w:p>
    <w:p>
      <w:pPr>
        <w:pStyle w:val="ListBullet"/>
        <w:spacing w:before="0" w:after="80" w:lineRule="exact" w:line="220"/>
        <w:ind w:left="259" w:hanging="187"/>
      </w:pPr>
      <w:r>
        <w:rPr>
          <w:rFonts w:ascii="Calibri" w:hAnsi="Calibri"/>
          <w:b w:val="0"/>
          <w:i w:val="0"/>
          <w:color w:val="1A1A1A"/>
          <w:sz w:val="17"/>
        </w:rPr>
        <w:t xml:space="preserve">Led ML model training and deployment for a smart appliance; designed data pipeline, applied transfer learning and ensemble techniques, deployed Docker-based services on Alibaba Cloud. Product won </w:t>
      </w:r>
      <w:r>
        <w:rPr>
          <w:rFonts w:ascii="Calibri" w:hAnsi="Calibri"/>
          <w:b/>
          <w:i w:val="0"/>
          <w:color w:val="1A1A1A"/>
          <w:sz w:val="17"/>
        </w:rPr>
        <w:t>Red Dot Design Award</w:t>
      </w:r>
      <w:r>
        <w:rPr>
          <w:rFonts w:ascii="Calibri" w:hAnsi="Calibri"/>
          <w:b w:val="0"/>
          <w:i w:val="0"/>
          <w:color w:val="1A1A1A"/>
          <w:sz w:val="17"/>
        </w:rPr>
        <w:t xml:space="preserve"> at 2018 AWE Show.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7920"/>
        <w:gridCol w:w="2880"/>
      </w:tblGrid>
      <w:tr>
        <w:tc>
          <w:tcPr>
            <w:tcW w:type="dxa" w:w="5400"/>
            <w:tcBdr>
              <w:top w:val="none"/>
              <w:left w:val="none"/>
              <w:bottom w:val="none"/>
              <w:right w:val="none"/>
              <w:insideH w:val="none"/>
              <w:insideV w:val="none"/>
            </w:tcBdr>
          </w:tcPr>
          <w:p>
            <w:pPr>
              <w:spacing w:before="0" w:after="0" w:lineRule="exact" w:line="220"/>
            </w:pPr>
            <w:r>
              <w:rPr>
                <w:rFonts w:ascii="Calibri" w:hAnsi="Calibri"/>
                <w:b/>
                <w:i w:val="0"/>
                <w:color w:val="0D0D0D"/>
                <w:sz w:val="19"/>
              </w:rPr>
              <w:t>Technical Product Manager</w:t>
            </w:r>
          </w:p>
        </w:tc>
        <w:tc>
          <w:tcPr>
            <w:tcW w:type="dxa" w:w="5400"/>
            <w:tcBdr>
              <w:top w:val="none"/>
              <w:left w:val="none"/>
              <w:bottom w:val="none"/>
              <w:right w:val="none"/>
              <w:insideH w:val="none"/>
              <w:insideV w:val="none"/>
            </w:tcBdr>
          </w:tcPr>
          <w:p>
            <w:pPr>
              <w:spacing w:before="0" w:after="0" w:lineRule="exact" w:line="220"/>
              <w:jc w:val="right"/>
            </w:pPr>
            <w:r>
              <w:rPr>
                <w:rFonts w:ascii="Calibri" w:hAnsi="Calibri"/>
                <w:b w:val="0"/>
                <w:i w:val="0"/>
                <w:color w:val="555555"/>
                <w:sz w:val="17"/>
              </w:rPr>
              <w:t>07/2018 – 01/2019</w:t>
            </w:r>
          </w:p>
        </w:tc>
      </w:tr>
    </w:tbl>
    <w:p>
      <w:pPr>
        <w:spacing w:before="20" w:after="40" w:lineRule="exact" w:line="200"/>
      </w:pPr>
      <w:r>
        <w:rPr>
          <w:rFonts w:ascii="Calibri" w:hAnsi="Calibri"/>
          <w:b w:val="0"/>
          <w:i w:val="0"/>
          <w:color w:val="555555"/>
          <w:sz w:val="17"/>
        </w:rPr>
        <w:t>Xiaomi</w:t>
      </w:r>
    </w:p>
    <w:p>
      <w:pPr>
        <w:pStyle w:val="ListBullet"/>
        <w:spacing w:before="0" w:after="80" w:lineRule="exact" w:line="220"/>
        <w:ind w:left="259" w:hanging="187"/>
      </w:pPr>
      <w:r>
        <w:rPr>
          <w:rFonts w:ascii="Calibri" w:hAnsi="Calibri"/>
          <w:b w:val="0"/>
          <w:i w:val="0"/>
          <w:color w:val="1A1A1A"/>
          <w:sz w:val="17"/>
        </w:rPr>
        <w:t>Defined system-level architecture for an IoT-enabled smart appliance with PID-based temperature control and cloud-connected app integration.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7920"/>
        <w:gridCol w:w="2880"/>
      </w:tblGrid>
      <w:tr>
        <w:tc>
          <w:tcPr>
            <w:tcW w:type="dxa" w:w="5400"/>
            <w:tcBdr>
              <w:top w:val="none"/>
              <w:left w:val="none"/>
              <w:bottom w:val="none"/>
              <w:right w:val="none"/>
              <w:insideH w:val="none"/>
              <w:insideV w:val="none"/>
            </w:tcBdr>
          </w:tcPr>
          <w:p>
            <w:pPr>
              <w:spacing w:before="0" w:after="0" w:lineRule="exact" w:line="220"/>
            </w:pPr>
            <w:r>
              <w:rPr>
                <w:rFonts w:ascii="Calibri" w:hAnsi="Calibri"/>
                <w:b/>
                <w:i w:val="0"/>
                <w:color w:val="0D0D0D"/>
                <w:sz w:val="19"/>
              </w:rPr>
              <w:t>Software Engineer Intern</w:t>
            </w:r>
          </w:p>
        </w:tc>
        <w:tc>
          <w:tcPr>
            <w:tcW w:type="dxa" w:w="5400"/>
            <w:tcBdr>
              <w:top w:val="none"/>
              <w:left w:val="none"/>
              <w:bottom w:val="none"/>
              <w:right w:val="none"/>
              <w:insideH w:val="none"/>
              <w:insideV w:val="none"/>
            </w:tcBdr>
          </w:tcPr>
          <w:p>
            <w:pPr>
              <w:spacing w:before="0" w:after="0" w:lineRule="exact" w:line="220"/>
              <w:jc w:val="right"/>
            </w:pPr>
            <w:r>
              <w:rPr>
                <w:rFonts w:ascii="Calibri" w:hAnsi="Calibri"/>
                <w:b w:val="0"/>
                <w:i w:val="0"/>
                <w:color w:val="555555"/>
                <w:sz w:val="17"/>
              </w:rPr>
              <w:t>10/2014 – 05/2015</w:t>
            </w:r>
          </w:p>
        </w:tc>
      </w:tr>
    </w:tbl>
    <w:p>
      <w:pPr>
        <w:spacing w:before="20" w:after="40" w:lineRule="exact" w:line="200"/>
      </w:pPr>
      <w:r>
        <w:rPr>
          <w:rFonts w:ascii="Calibri" w:hAnsi="Calibri"/>
          <w:b w:val="0"/>
          <w:i w:val="0"/>
          <w:color w:val="555555"/>
          <w:sz w:val="17"/>
        </w:rPr>
        <w:t>Broadcom (Emulex)</w:t>
      </w:r>
    </w:p>
    <w:p>
      <w:pPr>
        <w:pStyle w:val="ListBullet"/>
        <w:spacing w:before="0" w:after="40" w:lineRule="exact" w:line="220"/>
        <w:ind w:left="259" w:hanging="187"/>
      </w:pPr>
      <w:r>
        <w:rPr>
          <w:rFonts w:ascii="Calibri" w:hAnsi="Calibri"/>
          <w:b w:val="0"/>
          <w:i w:val="0"/>
          <w:color w:val="1A1A1A"/>
          <w:sz w:val="17"/>
        </w:rPr>
        <w:t xml:space="preserve">Replaced polling-based data acquisition with DMA + circular-buffer architecture in RTOS pipeline, </w:t>
      </w:r>
      <w:r>
        <w:rPr>
          <w:rFonts w:ascii="Calibri" w:hAnsi="Calibri"/>
          <w:b/>
          <w:i w:val="0"/>
          <w:color w:val="1A1A1A"/>
          <w:sz w:val="17"/>
        </w:rPr>
        <w:t>reducing CPU load by 30%</w:t>
      </w:r>
      <w:r>
        <w:rPr>
          <w:rFonts w:ascii="Calibri" w:hAnsi="Calibri"/>
          <w:b w:val="0"/>
          <w:i w:val="0"/>
          <w:color w:val="1A1A1A"/>
          <w:sz w:val="17"/>
        </w:rPr>
        <w:t xml:space="preserve"> and improving sampling rate and control-loop responsiveness.</w:t>
      </w:r>
    </w:p>
    <w:p>
      <w:pPr>
        <w:pStyle w:val="ListBullet"/>
        <w:spacing w:before="0" w:after="80" w:lineRule="exact" w:line="220"/>
        <w:ind w:left="259" w:hanging="187"/>
      </w:pPr>
      <w:r>
        <w:rPr>
          <w:rFonts w:ascii="Calibri" w:hAnsi="Calibri"/>
          <w:b w:val="0"/>
          <w:i w:val="0"/>
          <w:color w:val="1A1A1A"/>
          <w:sz w:val="17"/>
        </w:rPr>
        <w:t>Ported Linux management CLI for BladeEngine ASIC-based CNA hardware to Windows Server, adapting system calls, threading models, and error handling.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7920"/>
        <w:gridCol w:w="2880"/>
      </w:tblGrid>
      <w:tr>
        <w:tc>
          <w:tcPr>
            <w:tcW w:type="dxa" w:w="5400"/>
            <w:tcBdr>
              <w:top w:val="none"/>
              <w:left w:val="none"/>
              <w:bottom w:val="none"/>
              <w:right w:val="none"/>
              <w:insideH w:val="none"/>
              <w:insideV w:val="none"/>
            </w:tcBdr>
          </w:tcPr>
          <w:p>
            <w:pPr>
              <w:spacing w:before="0" w:after="0" w:lineRule="exact" w:line="220"/>
            </w:pPr>
            <w:r>
              <w:rPr>
                <w:rFonts w:ascii="Calibri" w:hAnsi="Calibri"/>
                <w:b/>
                <w:i w:val="0"/>
                <w:color w:val="0D0D0D"/>
                <w:sz w:val="19"/>
              </w:rPr>
              <w:t>Engineer Intern</w:t>
            </w:r>
          </w:p>
        </w:tc>
        <w:tc>
          <w:tcPr>
            <w:tcW w:type="dxa" w:w="5400"/>
            <w:tcBdr>
              <w:top w:val="none"/>
              <w:left w:val="none"/>
              <w:bottom w:val="none"/>
              <w:right w:val="none"/>
              <w:insideH w:val="none"/>
              <w:insideV w:val="none"/>
            </w:tcBdr>
          </w:tcPr>
          <w:p>
            <w:pPr>
              <w:spacing w:before="0" w:after="0" w:lineRule="exact" w:line="220"/>
              <w:jc w:val="right"/>
            </w:pPr>
            <w:r>
              <w:rPr>
                <w:rFonts w:ascii="Calibri" w:hAnsi="Calibri"/>
                <w:b w:val="0"/>
                <w:i w:val="0"/>
                <w:color w:val="555555"/>
                <w:sz w:val="17"/>
              </w:rPr>
              <w:t>01/2014 – 04/2014</w:t>
            </w:r>
          </w:p>
        </w:tc>
      </w:tr>
    </w:tbl>
    <w:p>
      <w:pPr>
        <w:spacing w:before="20" w:after="40" w:lineRule="exact" w:line="200"/>
      </w:pPr>
      <w:r>
        <w:rPr>
          <w:rFonts w:ascii="Calibri" w:hAnsi="Calibri"/>
          <w:b w:val="0"/>
          <w:i w:val="0"/>
          <w:color w:val="555555"/>
          <w:sz w:val="17"/>
        </w:rPr>
        <w:t>Tenova I2S</w:t>
      </w:r>
    </w:p>
    <w:p>
      <w:pPr>
        <w:pStyle w:val="ListBullet"/>
        <w:spacing w:before="0" w:after="80" w:lineRule="exact" w:line="220"/>
        <w:ind w:left="259" w:hanging="187"/>
      </w:pPr>
      <w:r>
        <w:rPr>
          <w:rFonts w:ascii="Calibri" w:hAnsi="Calibri"/>
          <w:b w:val="0"/>
          <w:i w:val="0"/>
          <w:color w:val="1A1A1A"/>
          <w:sz w:val="17"/>
        </w:rPr>
        <w:t xml:space="preserve">Re-architected RTOS data acquisition pipeline using DMA and circular buffers, </w:t>
      </w:r>
      <w:r>
        <w:rPr>
          <w:rFonts w:ascii="Calibri" w:hAnsi="Calibri"/>
          <w:b/>
          <w:i w:val="0"/>
          <w:color w:val="1A1A1A"/>
          <w:sz w:val="17"/>
        </w:rPr>
        <w:t>reducing CPU load by 42%</w:t>
      </w:r>
      <w:r>
        <w:rPr>
          <w:rFonts w:ascii="Calibri" w:hAnsi="Calibri"/>
          <w:b w:val="0"/>
          <w:i w:val="0"/>
          <w:color w:val="1A1A1A"/>
          <w:sz w:val="17"/>
        </w:rPr>
        <w:t xml:space="preserve"> and improving control-loop responsiveness.</w:t>
      </w:r>
    </w:p>
    <w:p>
      <w:pPr>
        <w:spacing w:before="120" w:after="60" w:lineRule="exact" w:line="240"/>
        <w:pBdr>
          <w:bottom w:val="single" w:sz="4" w:space="1" w:color="444444"/>
        </w:pBdr>
      </w:pPr>
      <w:r>
        <w:rPr>
          <w:rFonts w:ascii="Calibri" w:hAnsi="Calibri"/>
          <w:b/>
          <w:i w:val="0"/>
          <w:color w:val="0D0D0D"/>
          <w:sz w:val="19"/>
        </w:rPr>
        <w:t>ADDITIONAL SYSTEMS ENGINEERING EXPERIENCE</w:t>
      </w:r>
    </w:p>
    <w:p>
      <w:pPr>
        <w:spacing w:before="0" w:after="20" w:lineRule="exact" w:line="220"/>
        <w:jc w:val="left"/>
      </w:pPr>
      <w:r>
        <w:rPr>
          <w:rFonts w:ascii="Calibri" w:hAnsi="Calibri"/>
          <w:b/>
          <w:i w:val="0"/>
          <w:color w:val="0D0D0D"/>
          <w:sz w:val="19"/>
        </w:rPr>
        <w:t>16-bit MIPS-Like Pipelined CPU Design and Implementation</w:t>
      </w:r>
    </w:p>
    <w:p>
      <w:pPr>
        <w:spacing w:before="0" w:after="40" w:lineRule="exact" w:line="200"/>
        <w:jc w:val="left"/>
      </w:pPr>
      <w:hyperlink r:id="rId23">
        <w:r>
          <w:rPr>
            <w:rFonts w:ascii="Calibri"/>
            <w:sz w:val="16"/>
            <w:color w:val="2A5AAA"/>
            <w:u w:val="single"/>
          </w:rPr>
          <w:t>github.com/Johnny-dai-git/16-bit-MIPS-Like-Pipelined-CPU-Design-and-Implementation</w:t>
        </w:r>
      </w:hyperlink>
    </w:p>
    <w:p>
      <w:pPr>
        <w:pStyle w:val="ListBullet"/>
        <w:spacing w:before="0" w:after="80" w:lineRule="exact" w:line="220"/>
        <w:ind w:left="259" w:hanging="187"/>
      </w:pPr>
      <w:r>
        <w:rPr>
          <w:rFonts w:ascii="Calibri" w:hAnsi="Calibri"/>
          <w:b w:val="0"/>
          <w:i w:val="0"/>
          <w:color w:val="1A1A1A"/>
          <w:sz w:val="17"/>
        </w:rPr>
        <w:t xml:space="preserve">Designed end-to-end pipelined CPU from custom ISA through RTL, synthesis, and layout; 5-stage pipeline with hazard handling achieving </w:t>
      </w:r>
      <w:r>
        <w:rPr>
          <w:rFonts w:ascii="Calibri" w:hAnsi="Calibri"/>
          <w:b/>
          <w:i w:val="0"/>
          <w:color w:val="1A1A1A"/>
          <w:sz w:val="17"/>
        </w:rPr>
        <w:t>~3× speedup</w:t>
      </w:r>
      <w:r>
        <w:rPr>
          <w:rFonts w:ascii="Calibri" w:hAnsi="Calibri"/>
          <w:b w:val="0"/>
          <w:i w:val="0"/>
          <w:color w:val="1A1A1A"/>
          <w:sz w:val="17"/>
        </w:rPr>
        <w:t xml:space="preserve"> over single-cycle design.</w:t>
      </w:r>
    </w:p>
    <w:p>
      <w:pPr>
        <w:spacing w:before="120" w:after="60" w:lineRule="exact" w:line="240"/>
        <w:pBdr>
          <w:bottom w:val="single" w:sz="4" w:space="1" w:color="444444"/>
        </w:pBdr>
      </w:pPr>
      <w:r>
        <w:rPr>
          <w:rFonts w:ascii="Calibri" w:hAnsi="Calibri"/>
          <w:b/>
          <w:i w:val="0"/>
          <w:color w:val="0D0D0D"/>
          <w:sz w:val="19"/>
        </w:rPr>
        <w:t>PUBLICATIONS</w:t>
      </w:r>
    </w:p>
    <w:p>
      <w:pPr>
        <w:spacing w:before="0" w:after="80" w:lineRule="exact" w:line="230"/>
        <w:jc w:val="left"/>
      </w:pPr>
      <w:r>
        <w:rPr>
          <w:rFonts w:ascii="Calibri" w:hAnsi="Calibri"/>
          <w:b/>
          <w:i w:val="0"/>
          <w:color w:val="1A1A1A"/>
          <w:sz w:val="17"/>
        </w:rPr>
        <w:t>8 research papers (6 first-author)</w:t>
      </w:r>
      <w:r>
        <w:rPr>
          <w:rFonts w:ascii="Calibri" w:hAnsi="Calibri"/>
          <w:b w:val="0"/>
          <w:i w:val="0"/>
          <w:color w:val="1A1A1A"/>
          <w:sz w:val="17"/>
        </w:rPr>
        <w:t xml:space="preserve"> published/accepted at IEEE IPDPS, IEEE CCNC, IEEE ICNC, ACM TOIT, and Springer SecureComm; 2 under review at ACM TOPS.  Full list: </w:t>
      </w:r>
      <w:hyperlink r:id="rId24">
        <w:r>
          <w:rPr>
            <w:rFonts w:ascii="Calibri"/>
            <w:sz w:val="17"/>
            <w:color w:val="2A5AAA"/>
            <w:u w:val="single"/>
          </w:rPr>
          <w:t>scholar.google.com/citations?user=maCNFMAAAAJ</w:t>
        </w:r>
      </w:hyperlink>
    </w:p>
    <w:p>
      <w:pPr>
        <w:spacing w:before="120" w:after="60" w:lineRule="exact" w:line="240"/>
        <w:pBdr>
          <w:bottom w:val="single" w:sz="4" w:space="1" w:color="444444"/>
        </w:pBdr>
      </w:pPr>
      <w:r>
        <w:rPr>
          <w:rFonts w:ascii="Calibri" w:hAnsi="Calibri"/>
          <w:b/>
          <w:i w:val="0"/>
          <w:color w:val="0D0D0D"/>
          <w:sz w:val="19"/>
        </w:rPr>
        <w:t>SKILLS</w:t>
      </w:r>
    </w:p>
    <w:p>
      <w:pPr>
        <w:spacing w:before="0" w:after="40" w:lineRule="exact" w:line="220"/>
        <w:jc w:val="left"/>
      </w:pPr>
      <w:r>
        <w:rPr>
          <w:rFonts w:ascii="Calibri" w:hAnsi="Calibri"/>
          <w:b/>
          <w:i w:val="0"/>
          <w:color w:val="0D0D0D"/>
          <w:sz w:val="17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17"/>
        </w:rPr>
        <w:t>Python, C/C++, Java, Bash, SQL</w:t>
      </w:r>
    </w:p>
    <w:p>
      <w:pPr>
        <w:spacing w:before="0" w:after="40" w:lineRule="exact" w:line="220"/>
        <w:jc w:val="left"/>
      </w:pPr>
      <w:r>
        <w:rPr>
          <w:rFonts w:ascii="Calibri" w:hAnsi="Calibri"/>
          <w:b/>
          <w:i w:val="0"/>
          <w:color w:val="0D0D0D"/>
          <w:sz w:val="17"/>
        </w:rPr>
        <w:t xml:space="preserve">AI / ML: </w:t>
      </w:r>
      <w:r>
        <w:rPr>
          <w:rFonts w:ascii="Calibri" w:hAnsi="Calibri"/>
          <w:b w:val="0"/>
          <w:i w:val="0"/>
          <w:color w:val="1A1A1A"/>
          <w:sz w:val="17"/>
        </w:rPr>
        <w:t>PyTorch (DDP/FSDP), TensorFlow, BytePS, Megatron-LM, NCCL, vLLM, TensorRT-LLM</w:t>
      </w:r>
    </w:p>
    <w:p>
      <w:pPr>
        <w:spacing w:before="0" w:after="40" w:lineRule="exact" w:line="220"/>
        <w:jc w:val="left"/>
      </w:pPr>
      <w:r>
        <w:rPr>
          <w:rFonts w:ascii="Calibri" w:hAnsi="Calibri"/>
          <w:b/>
          <w:i w:val="0"/>
          <w:color w:val="0D0D0D"/>
          <w:sz w:val="17"/>
        </w:rPr>
        <w:t xml:space="preserve">Infrastructure: </w:t>
      </w:r>
      <w:r>
        <w:rPr>
          <w:rFonts w:ascii="Calibri" w:hAnsi="Calibri"/>
          <w:b w:val="0"/>
          <w:i w:val="0"/>
          <w:color w:val="1A1A1A"/>
          <w:sz w:val="17"/>
        </w:rPr>
        <w:t>Kubernetes, Docker, ArgoCD, Helm, Kustomize, Slurm, HPC, GitHub Actions CI/CD</w:t>
      </w:r>
    </w:p>
    <w:p>
      <w:pPr>
        <w:spacing w:before="0" w:after="40" w:lineRule="exact" w:line="220"/>
        <w:jc w:val="left"/>
      </w:pPr>
      <w:r>
        <w:rPr>
          <w:rFonts w:ascii="Calibri" w:hAnsi="Calibri"/>
          <w:b/>
          <w:i w:val="0"/>
          <w:color w:val="0D0D0D"/>
          <w:sz w:val="17"/>
        </w:rPr>
        <w:t xml:space="preserve">Observability: </w:t>
      </w:r>
      <w:r>
        <w:rPr>
          <w:rFonts w:ascii="Calibri" w:hAnsi="Calibri"/>
          <w:b w:val="0"/>
          <w:i w:val="0"/>
          <w:color w:val="1A1A1A"/>
          <w:sz w:val="17"/>
        </w:rPr>
        <w:t>eBPF, Prometheus, Grafana, DCGM Exporter, Intel RAPL, Kernel Tracing</w:t>
      </w:r>
    </w:p>
    <w:p>
      <w:pPr>
        <w:spacing w:before="0" w:after="40" w:lineRule="exact" w:line="220"/>
        <w:jc w:val="left"/>
      </w:pPr>
      <w:r>
        <w:rPr>
          <w:rFonts w:ascii="Calibri" w:hAnsi="Calibri"/>
          <w:b/>
          <w:i w:val="0"/>
          <w:color w:val="0D0D0D"/>
          <w:sz w:val="17"/>
        </w:rPr>
        <w:t xml:space="preserve">Cloud &amp; Networks: </w:t>
      </w:r>
      <w:r>
        <w:rPr>
          <w:rFonts w:ascii="Calibri" w:hAnsi="Calibri"/>
          <w:b w:val="0"/>
          <w:i w:val="0"/>
          <w:color w:val="1A1A1A"/>
          <w:sz w:val="17"/>
        </w:rPr>
        <w:t>AWS, GCP, SDN (OpenFlow / Ryu), P4, NPU/ASIC (Broadcom BCM SDK)</w:t>
      </w:r>
    </w:p>
    <w:p>
      <w:pPr>
        <w:spacing w:before="0" w:after="40" w:lineRule="exact" w:line="220"/>
        <w:jc w:val="left"/>
      </w:pPr>
      <w:r>
        <w:rPr>
          <w:rFonts w:ascii="Calibri" w:hAnsi="Calibri"/>
          <w:b/>
          <w:i w:val="0"/>
          <w:color w:val="0D0D0D"/>
          <w:sz w:val="17"/>
        </w:rPr>
        <w:t xml:space="preserve">Research: </w:t>
      </w:r>
      <w:r>
        <w:rPr>
          <w:rFonts w:ascii="Calibri" w:hAnsi="Calibri"/>
          <w:b w:val="0"/>
          <w:i w:val="0"/>
          <w:color w:val="1A1A1A"/>
          <w:sz w:val="17"/>
        </w:rPr>
        <w:t>Distributed ML Systems, ML Security, Side-Channel Analysis, RL-based Scheduling</w:t>
      </w:r>
    </w:p>
    <w:sectPr w:rsidR="00FC693F" w:rsidRPr="0006063C" w:rsidSect="00034616">
      <w:pgSz w:w="12240" w:h="15840"/>
      <w:pgMar w:top="648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xiv.org/abs/2510.08522" TargetMode="External"/><Relationship Id="rId10" Type="http://schemas.openxmlformats.org/officeDocument/2006/relationships/hyperlink" Target="https://github.com/Johnny-dai-git/DML-via-RL" TargetMode="External"/><Relationship Id="rId11" Type="http://schemas.openxmlformats.org/officeDocument/2006/relationships/hyperlink" Target="https://drive.google.com/file/d/1MIH6184UM9pPOpZhGbo5FE5_SNJjsfGc/view?usp=sharing" TargetMode="External"/><Relationship Id="rId12" Type="http://schemas.openxmlformats.org/officeDocument/2006/relationships/hyperlink" Target="https://par.nsf.gov/servlets/purl/10560766" TargetMode="External"/><Relationship Id="rId13" Type="http://schemas.openxmlformats.org/officeDocument/2006/relationships/hyperlink" Target="https://github.com/Johnny-dai-git/DNN-Architecture-Attacks-via-Network-and-Power-Side-Channels" TargetMode="External"/><Relationship Id="rId14" Type="http://schemas.openxmlformats.org/officeDocument/2006/relationships/hyperlink" Target="https://doi.org/10.1109/ICNC68183.2026.11416971" TargetMode="External"/><Relationship Id="rId15" Type="http://schemas.openxmlformats.org/officeDocument/2006/relationships/hyperlink" Target="https://github.com/Johnny-dai-git/Psketch" TargetMode="External"/><Relationship Id="rId16" Type="http://schemas.openxmlformats.org/officeDocument/2006/relationships/hyperlink" Target="https://doi.org/10.1109/CCNC65079.2026.11366341" TargetMode="External"/><Relationship Id="rId17" Type="http://schemas.openxmlformats.org/officeDocument/2006/relationships/hyperlink" Target="https://github.com/Johnny-dai-git/Top-k-eBPF-In-kernel-Sketch" TargetMode="External"/><Relationship Id="rId18" Type="http://schemas.openxmlformats.org/officeDocument/2006/relationships/hyperlink" Target="https://doi.org/10.1145/3559759" TargetMode="External"/><Relationship Id="rId19" Type="http://schemas.openxmlformats.org/officeDocument/2006/relationships/hyperlink" Target="https://github.com/Johnny-dai-git/Elastically-augmenting-the-control-path-throughput-in-SDN-to-deal-with-internet-DDoS-attacks" TargetMode="External"/><Relationship Id="rId20" Type="http://schemas.openxmlformats.org/officeDocument/2006/relationships/hyperlink" Target="https://github.com/Johnny-dai-git/llm-deployment" TargetMode="External"/><Relationship Id="rId21" Type="http://schemas.openxmlformats.org/officeDocument/2006/relationships/hyperlink" Target="https://drive.google.com/file/d/1HggMwZQwoOtVsUKFwxy4C5skJrs_Serd/view?usp=sharing" TargetMode="External"/><Relationship Id="rId22" Type="http://schemas.openxmlformats.org/officeDocument/2006/relationships/hyperlink" Target="https://drive.google.com/file/d/13IFxD7_QHTmE7aHTrxclKUWzKaxV0uJM/view?usp=sharing" TargetMode="External"/><Relationship Id="rId23" Type="http://schemas.openxmlformats.org/officeDocument/2006/relationships/hyperlink" Target="https://github.com/Johnny-dai-git/16-bit-MIPS-Like-Pipelined-CPU-Design-and-Implementation" TargetMode="External"/><Relationship Id="rId24" Type="http://schemas.openxmlformats.org/officeDocument/2006/relationships/hyperlink" Target="https://scholar.google.com/citations?user=maCNFMAAAA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