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d'Interface - UniGames</w:t>
      </w:r>
    </w:p>
    <w:p>
      <w:r>
        <w:t>Ce document présente l'interface finale de l'application web UniGames (Thème Sombre, Responsive).</w:t>
      </w:r>
    </w:p>
    <w:p>
      <w:pPr>
        <w:pStyle w:val="Heading2"/>
      </w:pPr>
      <w:r>
        <w:t>Capture d’écran_4-6-2026_214135_localhost.jpeg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35_localho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d’écran_4-6-2026_214158_localhost.jpeg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58_localhost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d’écran_4-6-2026_214243_localhost.jpeg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243_localho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d’écran_4-6-2026_214357_localhost.jpeg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357_localhos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d’écran_4-6-2026_214429_localhost.jpeg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29_localhost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d’écran_4-6-2026_214443_localhost.jpeg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43_localhost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d’écran_4-6-2026_214537_localhost.jpeg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537_localhost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d’écran_4-6-2026_21459_localhost.jpeg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59_localhost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d’écran_4-6-2026_214710_localhost.jpeg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710_localhost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d’écran_4-6-2026_214851_localhost.jpeg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851_localhost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d’écran_4-6-2026_214920_localhost.jpeg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20_localhost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d’écran_4-6-2026_214939_localhost.jpeg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39_localhost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d’écran_4-6-2026_214952_localhost.jpeg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52_localhost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d’écran_4-6-2026_21496_localhost.jpeg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6_localhost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d’écran_4-6-2026_215027_localhost.jpeg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27_localhost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d’écran_4-6-2026_215044_localhost.jpeg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44_localhost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d’écran_4-6-2026_215126_localhost.jpeg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126_localhost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Capture d’écran_4-6-2026_21560_localhost.jpeg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60_localhost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