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br/>
        <w:br/>
        <w:br/>
        <w:br/>
        <w:br/>
      </w:r>
    </w:p>
    <w:p>
      <w:pPr>
        <w:jc w:val="center"/>
      </w:pPr>
      <w:r>
        <w:rPr>
          <w:b/>
          <w:color w:val="1A4BAD"/>
          <w:sz w:val="72"/>
        </w:rPr>
        <w:t>Manuel Utilisateur</w:t>
      </w:r>
    </w:p>
    <w:p>
      <w:pPr>
        <w:jc w:val="center"/>
      </w:pPr>
      <w:r>
        <w:rPr>
          <w:color w:val="646464"/>
          <w:sz w:val="36"/>
        </w:rPr>
        <w:t>Guide d'utilisation de la plateforme UniGames</w:t>
      </w:r>
    </w:p>
    <w:p>
      <w:r>
        <w:br/>
        <w:br/>
        <w:br/>
        <w:br/>
        <w:br/>
        <w:br/>
        <w:br/>
        <w:br/>
        <w:br/>
        <w:br/>
        <w:br/>
        <w:br/>
        <w:br/>
        <w:br/>
        <w:br/>
      </w:r>
    </w:p>
    <w:p>
      <w:pPr>
        <w:jc w:val="right"/>
      </w:pPr>
      <w:r>
        <w:rPr>
          <w:color w:val="505050"/>
          <w:sz w:val="24"/>
        </w:rPr>
        <w:t>Projet : UniGames</w:t>
        <w:br/>
        <w:t>Date : Juin 2026</w:t>
        <w:br/>
        <w:t>Version : 1.0</w:t>
      </w:r>
    </w:p>
    <w:p>
      <w:r>
        <w:br w:type="page"/>
      </w:r>
    </w:p>
    <w:p>
      <w:pPr>
        <w:pStyle w:val="Heading1"/>
      </w:pPr>
      <w:r>
        <w:t>1. Introduction</w:t>
      </w:r>
    </w:p>
    <w:p>
      <w:r>
        <w:t>Bienvenue sur la plateforme UniGames. Ce manuel vous guidera à travers les fonctionnalités principales de l'application.</w:t>
      </w:r>
    </w:p>
    <w:p>
      <w:pPr>
        <w:pStyle w:val="Heading1"/>
      </w:pPr>
      <w:r>
        <w:t>2. Connexion et Tableau de Bord</w:t>
      </w:r>
    </w:p>
    <w:p>
      <w:r>
        <w:t>Une fois connecté via l'URL principale, vous arrivez sur le Tableau de Bord. Ce dernier affiche les indicateurs clés : nombre de facultés, équipes inscrites, matchs joués et joueurs enregistrés.</w:t>
      </w:r>
    </w:p>
    <w:p>
      <w:r>
        <w:t>Sélection de l'édition : En haut à droite, une liste déroulante permet de basculer entre les différentes éditions du tournoi (ex: Édition 2026).</w:t>
      </w:r>
    </w:p>
    <w:p>
      <w:pPr>
        <w:pStyle w:val="Heading1"/>
      </w:pPr>
      <w:r>
        <w:t>3. Gestion des Matchs et Saisie des Scores</w:t>
      </w:r>
    </w:p>
    <w:p>
      <w:r>
        <w:t>Pour saisir un score :</w:t>
      </w:r>
    </w:p>
    <w:p>
      <w:pPr>
        <w:pStyle w:val="ListNumber"/>
      </w:pPr>
      <w:r>
        <w:t>Allez dans le menu 'Matchs'.</w:t>
      </w:r>
    </w:p>
    <w:p>
      <w:pPr>
        <w:pStyle w:val="ListNumber"/>
      </w:pPr>
      <w:r>
        <w:t>Cliquez sur le bouton 'Voir' d'un match planifié.</w:t>
      </w:r>
    </w:p>
    <w:p>
      <w:pPr>
        <w:pStyle w:val="ListNumber"/>
      </w:pPr>
      <w:r>
        <w:t>Remplissez le formulaire 'Saisie du Score et des Buteurs' en indiquant le score et en sélectionnant les joueurs ayant marqué.</w:t>
      </w:r>
    </w:p>
    <w:p>
      <w:pPr>
        <w:pStyle w:val="ListNumber"/>
      </w:pPr>
      <w:r>
        <w:t>Cliquez sur 'Enregistrer'.</w:t>
      </w:r>
    </w:p>
    <w:p>
      <w:pPr>
        <w:pStyle w:val="Heading1"/>
      </w:pPr>
      <w:r>
        <w:t>4. Consultation de l'Arbre du Tournoi</w:t>
      </w:r>
    </w:p>
    <w:p>
      <w:r>
        <w:t>Depuis la page 'Éditions', en cliquant sur 'Arbre du Tournoi', vous visualiserez un diagramme interactif montrant l'avancement des phases finales (Quarts, Demies, Finale).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A4BAD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85AB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50505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