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8" ns0:name="动作发展与运动科学核心文献"/>
    <ns0:p>
      <ns0:pPr>
        <ns0:pStyle ns0:val="Heading1"/>
        <ns0:spacing ns0:line="276" ns0:lineRule="auto" ns0:before="160" ns0:after="80"/>
      </ns0:pPr>
      <ns0:r>
        <ns0:t xml:space="preserve">动作发展与运动科学核心文献</ns0:t>
      </ns0:r>
    </ns0:p>
    <ns0:bookmarkStart ns0:id="20" ns0:name="动作发展"/>
    <ns0:p>
      <ns0:pPr>
        <ns0:pStyle ns0:val="Heading2"/>
        <ns0:spacing ns0:line="276" ns0:lineRule="auto" ns0:before="120" ns0:after="60"/>
      </ns0:pPr>
      <ns0:r>
        <ns0:t xml:space="preserve">动作发展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Gallahue, D. L., &amp; Ozmun, J. C. (2006).</ns0:t>
      </ns0:r>
      <ns0:r>
        <ns0:t xml:space="preserve"> </ns0:t>
      </ns0:r>
      <ns0:r>
        <ns0:rPr>
          <ns0:iCs/>
          <ns0:i/>
        </ns0:rPr>
        <ns0:t xml:space="preserve">Understanding Motor Development</ns0:t>
      </ns0:r>
      <ns0:r>
        <ns0:t xml:space="preserve"> </ns0:t>
      </ns0:r>
      <ns0:r>
        <ns0:t xml:space="preserve">(6th ed.). McGraw-Hill.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World Health Organization. (2006).</ns0:t>
      </ns0:r>
      <ns0:r>
        <ns0:t xml:space="preserve"> </ns0:t>
      </ns0:r>
      <ns0:r>
        <ns0:rPr>
          <ns0:iCs/>
          <ns0:i/>
        </ns0:rPr>
        <ns0:t xml:space="preserve">WHO Motor Development Study</ns0:t>
      </ns0:r>
      <ns0:r>
        <ns0:t xml:space="preserve">. Acta Paediatrica, 95(S450), 86-95.</ns0:t>
      </ns0:r>
    </ns0:p>
    <ns0:bookmarkEnd ns0:id="20"/>
    <ns0:bookmarkStart ns0:id="21" ns0:name="感觉统合"/>
    <ns0:p>
      <ns0:pPr>
        <ns0:pStyle ns0:val="Heading2"/>
        <ns0:spacing ns0:line="276" ns0:lineRule="auto" ns0:before="120" ns0:after="60"/>
      </ns0:pPr>
      <ns0:r>
        <ns0:t xml:space="preserve">感觉统合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Ayres, A. J. (1972). Sensory integration and learning disorders.</ns0:t>
      </ns0:r>
      <ns0:r>
        <ns0:t xml:space="preserve"> </ns0:t>
      </ns0:r>
      <ns0:r>
        <ns0:rPr>
          <ns0:iCs/>
          <ns0:i/>
        </ns0:rPr>
        <ns0:t xml:space="preserve">Western Psychological Services</ns0:t>
      </ns0:r>
      <ns0:r>
        <ns0:t xml:space="preserve">.</ns0:t>
      </ns0:r>
    </ns0:p>
    <ns0:bookmarkEnd ns0:id="21"/>
    <ns0:bookmarkStart ns0:id="22" ns0:name="长期运动员发展"/>
    <ns0:p>
      <ns0:pPr>
        <ns0:pStyle ns0:val="Heading2"/>
        <ns0:spacing ns0:line="276" ns0:lineRule="auto" ns0:before="120" ns0:after="60"/>
      </ns0:pPr>
      <ns0:r>
        <ns0:t xml:space="preserve">长期运动员发展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Balyi, I., &amp; Hamilton, A. (2004). Long-term athlete development.</ns0:t>
      </ns0:r>
      <ns0:r>
        <ns0:t xml:space="preserve"> </ns0:t>
      </ns0:r>
      <ns0:r>
        <ns0:rPr>
          <ns0:iCs/>
          <ns0:i/>
        </ns0:rPr>
        <ns0:t xml:space="preserve">Coaches Association of Canada</ns0:t>
      </ns0:r>
      <ns0:r>
        <ns0:t xml:space="preserve">.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Côté, J., Baker, J., &amp; Abernethy, B. (2007). Practice and play in the development of sport expertise. In G. Tenenbaum &amp; R. C. Eklund (Eds.),</ns0:t>
      </ns0:r>
      <ns0:r>
        <ns0:t xml:space="preserve"> </ns0:t>
      </ns0:r>
      <ns0:r>
        <ns0:rPr>
          <ns0:iCs/>
          <ns0:i/>
        </ns0:rPr>
        <ns0:t xml:space="preserve">Handbook of Sport Psychology</ns0:t>
      </ns0:r>
      <ns0:r>
        <ns0:t xml:space="preserve"> </ns0:t>
      </ns0:r>
      <ns0:r>
        <ns0:t xml:space="preserve">(3rd ed.). Wiley.</ns0:t>
      </ns0:r>
    </ns0:p>
    <ns0:bookmarkEnd ns0:id="22"/>
    <ns0:bookmarkStart ns0:id="23" ns0:name="青春期运动发展"/>
    <ns0:p>
      <ns0:pPr>
        <ns0:pStyle ns0:val="Heading2"/>
        <ns0:spacing ns0:line="276" ns0:lineRule="auto" ns0:before="120" ns0:after="60"/>
      </ns0:pPr>
      <ns0:r>
        <ns0:t xml:space="preserve">青春期运动发展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Mirwald, R. L., Baxter-Jones, A. D., Bailey, D. A., &amp; Beunen, G. P. (2002). An assessment of maturity from anthropometric measurements.</ns0:t>
      </ns0:r>
      <ns0:r>
        <ns0:t xml:space="preserve"> </ns0:t>
      </ns0:r>
      <ns0:r>
        <ns0:rPr>
          <ns0:iCs/>
          <ns0:i/>
        </ns0:rPr>
        <ns0:t xml:space="preserve">Medicine &amp; Science in Sports &amp; Exercise</ns0:t>
      </ns0:r>
      <ns0:r>
        <ns0:t xml:space="preserve">, 34(4), 689-694.</ns0:t>
      </ns0:r>
    </ns0:p>
    <ns0:bookmarkEnd ns0:id="23"/>
    <ns0:bookmarkStart ns0:id="24" ns0:name="运动训练指南"/>
    <ns0:p>
      <ns0:pPr>
        <ns0:pStyle ns0:val="Heading2"/>
        <ns0:spacing ns0:line="276" ns0:lineRule="auto" ns0:before="120" ns0:after="60"/>
      </ns0:pPr>
      <ns0:r>
        <ns0:t xml:space="preserve">运动训练指南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American College of Sports Medicine. (2022).</ns0:t>
      </ns0:r>
      <ns0:r>
        <ns0:t xml:space="preserve"> </ns0:t>
      </ns0:r>
      <ns0:r>
        <ns0:rPr>
          <ns0:iCs/>
          <ns0:i/>
        </ns0:rPr>
        <ns0:t xml:space="preserve">ACSM’s Guidelines for Exercise Testing and Prescription</ns0:t>
      </ns0:r>
      <ns0:r>
        <ns0:t xml:space="preserve"> </ns0:t>
      </ns0:r>
      <ns0:r>
        <ns0:t xml:space="preserve">(11th ed.). Wolters Kluwer.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National Strength and Conditioning Association. (2009). Youth resistance training.</ns0:t>
      </ns0:r>
      <ns0:r>
        <ns0:t xml:space="preserve"> </ns0:t>
      </ns0:r>
      <ns0:r>
        <ns0:rPr>
          <ns0:iCs/>
          <ns0:i/>
        </ns0:rPr>
        <ns0:t xml:space="preserve">Strength and Conditioning Journal</ns0:t>
      </ns0:r>
      <ns0:r>
        <ns0:t xml:space="preserve">, 31(3), 55-63.</ns0:t>
      </ns0:r>
    </ns0:p>
    <ns0:bookmarkEnd ns0:id="24"/>
    <ns0:bookmarkStart ns0:id="25" ns0:name="老年人运动"/>
    <ns0:p>
      <ns0:pPr>
        <ns0:pStyle ns0:val="Heading2"/>
        <ns0:spacing ns0:line="276" ns0:lineRule="auto" ns0:before="120" ns0:after="60"/>
      </ns0:pPr>
      <ns0:r>
        <ns0:t xml:space="preserve">老年人运动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World Health Organization. (2020).</ns0:t>
      </ns0:r>
      <ns0:r>
        <ns0:t xml:space="preserve"> </ns0:t>
      </ns0:r>
      <ns0:r>
        <ns0:rPr>
          <ns0:iCs/>
          <ns0:i/>
        </ns0:rPr>
        <ns0:t xml:space="preserve">WHO Guidelines on Physical Activity and Sedentary Behaviour</ns0:t>
      </ns0:r>
      <ns0:r>
        <ns0:t xml:space="preserve">. WHO.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Sherrington, C., et al. (2019). Exercise for preventing falls in older people living in the community.</ns0:t>
      </ns0:r>
      <ns0:r>
        <ns0:t xml:space="preserve"> </ns0:t>
      </ns0:r>
      <ns0:r>
        <ns0:rPr>
          <ns0:iCs/>
          <ns0:i/>
        </ns0:rPr>
        <ns0:t xml:space="preserve">Cochrane Database of Systematic Reviews</ns0:t>
      </ns0:r>
      <ns0:r>
        <ns0:t xml:space="preserve">, 1, CD012424.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Fried, L. P., et al. (2001). Frailty in older adults.</ns0:t>
      </ns0:r>
      <ns0:r>
        <ns0:t xml:space="preserve"> </ns0:t>
      </ns0:r>
      <ns0:r>
        <ns0:rPr>
          <ns0:iCs/>
          <ns0:i/>
        </ns0:rPr>
        <ns0:t xml:space="preserve">The Journals of Gerontology Series A</ns0:t>
      </ns0:r>
      <ns0:r>
        <ns0:t xml:space="preserve">, 56(3), M146-M156.</ns0:t>
      </ns0:r>
    </ns0:p>
    <ns0:bookmarkEnd ns0:id="25"/>
    <ns0:bookmarkStart ns0:id="26" ns0:name="肌少症"/>
    <ns0:p>
      <ns0:pPr>
        <ns0:pStyle ns0:val="Heading2"/>
        <ns0:spacing ns0:line="276" ns0:lineRule="auto" ns0:before="120" ns0:after="60"/>
      </ns0:pPr>
      <ns0:r>
        <ns0:t xml:space="preserve">肌少症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Rosenberg, I. H. (1997). Sarcopenia: Origins and clinical relevance.</ns0:t>
      </ns0:r>
      <ns0:r>
        <ns0:t xml:space="preserve"> </ns0:t>
      </ns0:r>
      <ns0:r>
        <ns0:rPr>
          <ns0:iCs/>
          <ns0:i/>
        </ns0:rPr>
        <ns0:t xml:space="preserve">The Journal of Nutrition</ns0:t>
      </ns0:r>
      <ns0:r>
        <ns0:t xml:space="preserve">, 127(5), 990S-991S.</ns0:t>
      </ns0:r>
    </ns0:p>
    <ns0:bookmarkEnd ns0:id="26"/>
    <ns0:bookmarkStart ns0:id="27" ns0:name="脑神经发育与运动"/>
    <ns0:p>
      <ns0:pPr>
        <ns0:pStyle ns0:val="Heading2"/>
        <ns0:spacing ns0:line="276" ns0:lineRule="auto" ns0:before="120" ns0:after="60"/>
      </ns0:pPr>
      <ns0:r>
        <ns0:t xml:space="preserve">脑神经发育与运动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Steinberg, L. (2008). A social neuroscience perspective on adolescent risk-taking.</ns0:t>
      </ns0:r>
      <ns0:r>
        <ns0:t xml:space="preserve"> </ns0:t>
      </ns0:r>
      <ns0:r>
        <ns0:rPr>
          <ns0:iCs/>
          <ns0:i/>
        </ns0:rPr>
        <ns0:t xml:space="preserve">Developmental Review</ns0:t>
      </ns0:r>
      <ns0:r>
        <ns0:t xml:space="preserve">, 28(1), 78-106.</ns0:t>
      </ns0:r>
    </ns0:p>
    <ns0:bookmarkEnd ns0:id="27"/>
    <ns0:bookmarkEnd ns0:id="28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2026-06-19T08:17:59Z</dcterms:created>
  <dcterms:modified xsi:type="dcterms:W3CDTF">2026-06-19T08:17:59Z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