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5" ns0:name="ai-教育图谱-全年龄层能力发展框架"/>
    <ns0:p>
      <ns0:pPr>
        <ns0:pStyle ns0:val="Heading1"/>
        <ns0:spacing ns0:line="276" ns0:lineRule="auto" ns0:before="160" ns0:after="80"/>
      </ns0:pPr>
      <ns0:r>
        <ns0:t xml:space="preserve">AI 教育图谱 — 全年龄层能力发展框架</ns0:t>
      </ns0:r>
    </ns0:p>
    <ns0:bookmarkStart ns0:id="20" ns0:name="项目定位"/>
    <ns0:p>
      <ns0:pPr>
        <ns0:pStyle ns0:val="Heading2"/>
        <ns0:spacing ns0:line="276" ns0:lineRule="auto" ns0:before="120" ns0:after="60"/>
      </ns0:pPr>
      <ns0:r>
        <ns0:t xml:space="preserve">项目定位</ns0:t>
      </ns0:r>
    </ns0:p>
    <ns0:p>
      <ns0:pPr>
        <ns0:pStyle ns0:val="FirstParagraph"/>
        <ns0:spacing ns0:line="276" ns0:lineRule="auto" ns0:before="0" ns0:after="40"/>
      </ns0:pPr>
      <ns0:r>
        <ns0:t xml:space="preserve">开源教育项目，按人生阶段组织能力培养路径。核心交付物为结构化知识内容——涵盖发展里程碑、实操指南、常见问题解答和权威文献支撑。用户可直接阅读获取指导，也可结合 AI 工具获得个性化建议。</ns0:t>
      </ns0:r>
    </ns0:p>
    <ns0:bookmarkEnd ns0:id="20"/>
    <ns0:bookmarkStart ns0:id="21" ns0:name="用户分层"/>
    <ns0:p>
      <ns0:pPr>
        <ns0:pStyle ns0:val="Heading2"/>
        <ns0:spacing ns0:line="276" ns0:lineRule="auto" ns0:before="120" ns0:after="60"/>
      </ns0:pPr>
      <ns0:r>
        <ns0:t xml:space="preserve">用户分层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0-18 岁：面向家长（育儿指导）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14 岁后：同时面向学习者本人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无年龄上限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教育从业者可共同维护</ns0:t>
      </ns0:r>
    </ns0:p>
    <ns0:bookmarkEnd ns0:id="21"/>
    <ns0:bookmarkStart ns0:id="22" ns0:name="内容治理"/>
    <ns0:p>
      <ns0:pPr>
        <ns0:pStyle ns0:val="Heading2"/>
        <ns0:spacing ns0:line="276" ns0:lineRule="auto" ns0:before="120" ns0:after="60"/>
      </ns0:pPr>
      <ns0:r>
        <ns0:t xml:space="preserve">内容治理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核心图谱和基础内容：专家审核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社区贡献：标记</ns0:t>
      </ns0:r>
      <ns0:r>
        <ns0:t xml:space="preserve">“</ns0:t>
      </ns0:r>
      <ns0:r>
        <ns0:t xml:space="preserve">社区贡献</ns0:t>
      </ns0:r>
      <ns0:r>
        <ns0:t xml:space="preserve">”</ns0:t>
      </ns0:r>
    </ns0:p>
    <ns0:bookmarkEnd ns0:id="22"/>
    <ns0:bookmarkStart ns0:id="23" ns0:name="内容组织结构"/>
    <ns0:p>
      <ns0:pPr>
        <ns0:pStyle ns0:val="Heading2"/>
        <ns0:spacing ns0:line="276" ns0:lineRule="auto" ns0:before="120" ns0:after="60"/>
      </ns0:pPr>
      <ns0:r>
        <ns0:t xml:space="preserve">内容组织结构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0-14岁（面向家长）：</ns0:t>
      </ns0:r>
      <ns0:r>
        <ns0:t xml:space="preserve"> </ns0:t>
      </ns0:r>
      <ns0:r>
        <ns0:t xml:space="preserve">保持三条主线的结构化划分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认知与心理主线：认知发展、情感培养、社会性发展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身体能力主线：运动发育、感觉统合、体能发展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父母支持主线：照料者心理健康、育儿指导、家庭支持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14岁后（面向学习者本人）：</ns0:t>
      </ns0:r>
      <ns0:r>
        <ns0:t xml:space="preserve"> </ns0:t>
      </ns0:r>
      <ns0:r>
        <ns0:t xml:space="preserve">按阶段特点灵活划分目录</ns0:t>
      </ns0:r>
    </ns0:p>
    <ns0:p>
      <ns0:pPr>
        <ns0:numPr>
          <ns0:ilvl ns0:val="0"/>
          <ns0:numId ns0:val="1004"/>
        </ns0:numPr>
        <ns0:spacing ns0:line="276" ns0:lineRule="auto" ns0:before="0" ns0:after="40"/>
      </ns0:pPr>
      <ns0:r>
        <ns0:t xml:space="preserve">青春期：身份探索、人际关系、心理健康、学业发展、身体发育</ns0:t>
      </ns0:r>
    </ns0:p>
    <ns0:p>
      <ns0:pPr>
        <ns0:numPr>
          <ns0:ilvl ns0:val="0"/>
          <ns0:numId ns0:val="1004"/>
        </ns0:numPr>
        <ns0:spacing ns0:line="276" ns0:lineRule="auto" ns0:before="0" ns0:after="40"/>
      </ns0:pPr>
      <ns0:r>
        <ns0:t xml:space="preserve">大学期：学术能力、职业探索、独立生活、亲密关系、财务素养</ns0:t>
      </ns0:r>
    </ns0:p>
    <ns0:p>
      <ns0:pPr>
        <ns0:numPr>
          <ns0:ilvl ns0:val="0"/>
          <ns0:numId ns0:val="1004"/>
        </ns0:numPr>
        <ns0:spacing ns0:line="276" ns0:lineRule="auto" ns0:before="0" ns0:after="40"/>
      </ns0:pPr>
      <ns0:r>
        <ns0:t xml:space="preserve">职场开始/发展：职业发展、领导力、健康管理、认知发展</ns0:t>
      </ns0:r>
    </ns0:p>
    <ns0:p>
      <ns0:pPr>
        <ns0:numPr>
          <ns0:ilvl ns0:val="0"/>
          <ns0:numId ns0:val="1004"/>
        </ns0:numPr>
        <ns0:spacing ns0:line="276" ns0:lineRule="auto" ns0:before="0" ns0:after="40"/>
      </ns0:pPr>
      <ns0:r>
        <ns0:t xml:space="preserve">家庭期：育儿指导、婚姻经营、家庭管理、健康管理</ns0:t>
      </ns0:r>
    </ns0:p>
    <ns0:p>
      <ns0:pPr>
        <ns0:numPr>
          <ns0:ilvl ns0:val="0"/>
          <ns0:numId ns0:val="1004"/>
        </ns0:numPr>
        <ns0:spacing ns0:line="276" ns0:lineRule="auto" ns0:before="0" ns0:after="40"/>
      </ns0:pPr>
      <ns0:r>
        <ns0:t xml:space="preserve">中年期：职业传承、健康维护、生命回顾、智慧判断</ns0:t>
      </ns0:r>
    </ns0:p>
    <ns0:p>
      <ns0:pPr>
        <ns0:numPr>
          <ns0:ilvl ns0:val="0"/>
          <ns0:numId ns0:val="1004"/>
        </ns0:numPr>
        <ns0:spacing ns0:line="276" ns0:lineRule="auto" ns0:before="0" ns0:after="40"/>
      </ns0:pPr>
      <ns0:r>
        <ns0:t xml:space="preserve">老年期：健康维护、认知保持、社会连接、生命叙事</ns0:t>
      </ns0:r>
    </ns0:p>
    <ns0:p>
      <ns0:pPr>
        <ns0:numPr>
          <ns0:ilvl ns0:val="0"/>
          <ns0:numId ns0:val="1004"/>
        </ns0:numPr>
        <ns0:spacing ns0:line="276" ns0:lineRule="auto" ns0:before="0" ns0:after="40"/>
      </ns0:pPr>
      <ns0:r>
        <ns0:t xml:space="preserve">副线：兴趣 跨年龄路径（通过索引指向对应阶段的内容）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阶段划分说明：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0-18岁：育儿指导阶段（面向家长），包含婴幼儿0-3、学龄前3-6、学龄初6-9、学龄中9-12、青春期前12-14、青春期14-18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14岁后：学习者自主阶段（面向学习者本人），包含青春期14-18、大学期、职场开始、职场发展、家庭期、中年期、老年期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父母支持维度：家庭期（25-45岁）包含育儿指导（0-18岁）和父母自身支持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3"/>
    <ns0:bookmarkStart ns0:id="24" ns0:name="全年龄层能力发展框架"/>
    <ns0:p>
      <ns0:pPr>
        <ns0:pStyle ns0:val="Heading2"/>
        <ns0:spacing ns0:line="276" ns0:lineRule="auto" ns0:before="120" ns0:after="60"/>
      </ns0:pPr>
      <ns0:r>
        <ns0:t xml:space="preserve">全年龄层能力发展框架</ns0:t>
      </ns0:r>
    </ns0:p>
    <ns0:tbl>
      <ns0:tblPr>
        <ns0:tblStyle ns0:val="Table"/>
        <ns0:tblW ns0:type="pct" ns0:w="500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>
        <ns0:gridCol ns0:w="579"/>
        <ns0:gridCol ns0:w="579"/>
        <ns0:gridCol ns0:w="1255"/>
        <ns0:gridCol ns0:w="1835"/>
        <ns0:gridCol ns0:w="1159"/>
        <ns0:gridCol ns0:w="1352"/>
        <ns0:gridCol ns0:w="1159"/>
      </ns0:tblGrid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阶段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认知与心理主线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理论依据(认知/心理)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身体能力主线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理论依据(身体)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父母支持主线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青春期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14-18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形式运算思维（假设-演绎推理、系统思考）；身份探索（我是谁？我属于哪个群体？）；情绪强度与波动（杏仁核先行，前额叶滞后）；同伴影响峰值（从众压力最大）；浪漫关系萌芽；风险感知不成熟（冲动与风险评估的神经发育错位）；道德推理进阶（从规则服从到原则思考）；认识论思考（知识是确定的还是建构的？）；未来取向（规划人生方向）；复杂决策（不确定性下的权衡）；媒介素养与批判评估；身份整合（价值观、信仰、职业方向的整合）；亲密关系能力（从自我关注转向互惠）；家庭关系重构（向成人-成人模式过渡）；公民意识与社会参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皮亚杰形式运算期（12+）；埃里克森身份vs角色混乱（12-18）；Steinberg双系统模型（社会情感系统vs认知控制系统）；Kohlberg道德发展习俗水平；Marcia身份状态理论；Erikson身份确立（Identity Achievement）；King &amp; Kitchener反思判断模型（认识论发展）；Perry智力与伦理发展模型；Arnett成年初显期理论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HV身高突增期（生长速度峰值，女孩约11-13岁，男孩约13-15岁）；力量与速度训练窗口（激素驱动可训练性提升）；青春期动作协调暂时性失调（肢体增长速率不匹配）；运动损伤高发（生长板脆弱、过度使用）；体像关注；接近生理成熟；肌肉系统训练（睾酮驱动肌肉肥大成为可能）；心肺机能提升（VO2max训练窗口）；专项运动深化（选择深耕方向）；训练系统化（周期化训练意识）；营养与恢复认知；体像心理（肌肉上瘾症/身材焦虑风险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PHV模型（Mirwald等）；青春期力量/速度/耐力可训练窗口（Balyi &amp; Hamilton）；LTAD训练训练阶段（Train to Train）；青少年运动损伤预防（运动医学共识）；青少年体能发展峰值窗口；LTAD竞赛训练阶段（Train to Compete）；运动心理学：内在动机与自主性支持；体像障碍与运动关联研究</ns0:t>
            </ns0:r>
          </ns0:p>
        </ns0:tc>
        <ns0:tc>
          <ns0:p>
            <ns0:pPr>
              <ns0:spacing ns0:line="276" ns0:lineRule="auto" ns0:before="0" ns0:after="40"/>
            </ns0:pPr>
            <ns0:pPr>
              <ns0:spacing ns0:line="276" ns0:lineRule="auto" ns0:before="0" ns0:after="40"/>
            </ns0:pP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大学期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18-22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后形式思维（辩证思考、接受矛盾与模糊性）；专业知识体系构建；财务素养入门（收支管理、助学贷款）；自主学习能力（从高中结构化到大学自主学习的过渡）；学术诚信与批判性写作；职业探索（实习、社团、专业方向）；亲密关系建立（承诺、脆弱性、冲突修复）；社交网络经营（室友关系、社团归属）；独立生活技能（时间管理、自我照顾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Labouvie-Vief后形式思维理论；Arnett成年初显期（Emerging Adulthood）；Sternberg爱情三角理论（亲密/激情/承诺）；Gottman亲密关系冲突修复研究；自我决定理论（Ryan &amp; Deci）；大学生发展理论（Chickering）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生理机能峰值期（20-25岁）；系统化训练方法入门（周期化、渐进超负荷）；运动习惯终身锚定（此期建立的运动习惯最具持久性）；营养与恢复知识体系；物质使用决策（酒精、药物对体能的影响）；睡眠优化；久坐行为干预（长时间学习/编程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生理机能峰值研究（20-25岁）；运动习惯维持的纵向追踪研究；ACSM成年人运动指南；睡眠与运动表现研究；大学生健康行为调查</ns0:t>
            </ns0:r>
          </ns0:p>
        </ns0:tc>
        <ns0:tc>
          <ns0:p>
            <ns0:pPr>
              <ns0:spacing ns0:line="276" ns0:lineRule="auto" ns0:before="0" ns0:after="40"/>
            </ns0:pPr>
            <ns0:pPr>
              <ns0:spacing ns0:line="276" ns0:lineRule="auto" ns0:before="0" ns0:after="40"/>
            </ns0:pP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职场开始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22-28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专业知识体系深化；财务素养进阶（储蓄、投资、税务）；职业身份确立；工作-生活平衡初步探索；职场社交网络经营；亲密关系深化（同居、订婚、婚姻准备）；独立生活能力成熟（租房、家务、理财）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Erikson亲密vs孤独（18-40）；Super职业发展理论；Savickas生涯建构理论；财务行为学研究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系统化训练方法（周期化、渐进超负荷）；运动习惯巩固；营养与恢复知识体系；久坐对抗（办公室工作者的运动处方）；睡眠优化；物质使用决策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ACSM成年人运动指南；久坐行为健康风险（WHO）；职场健康促进研究</ns0:t>
            </ns0:r>
          </ns0:p>
        </ns0:tc>
        <ns0:tc>
          <ns0:p>
            <ns0:pPr>
              <ns0:spacing ns0:line="276" ns0:lineRule="auto" ns0:before="0" ns0:after="40"/>
            </ns0:pPr>
            <ns0:pPr>
              <ns0:spacing ns0:line="276" ns0:lineRule="auto" ns0:before="0" ns0:after="40"/>
            </ns0:pP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职场发展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28-40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专业精通（从胜任到专家）；复杂问题解决（跨领域整合）；指导他人（mentoring能力）；认知灵活性维持（对抗思维固化）；领导力发展；压力管理（职场与家庭双重压力）；意义感与目标感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Erikson繁衍vs停滞（25-64）；Dreyfus技能习得模型（胜任精通专家）；Seligman PERMA幸福模型；Kahneman系统1/系统2与决策偏差；领导力发展：变革型领导理论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体能维持（峰值后缓慢下降）；久坐对抗（办公室工作者的运动处方）；核心力量与姿势管理；压力性运动释放（运动作为心理调节工具）；基础代谢率下降应对（30岁后每10年约降2-3%）；家庭运动习惯传承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基础代谢率下降研究；久坐行为健康风险（WHO）；ACSM成年人运动处方；运动与心理健康元分析</ns0:t>
            </ns0:r>
          </ns0:p>
        </ns0:tc>
        <ns0:tc>
          <ns0:p>
            <ns0:pPr>
              <ns0:spacing ns0:line="276" ns0:lineRule="auto" ns0:before="0" ns0:after="40"/>
            </ns0:pPr>
            <ns0:pPr>
              <ns0:spacing ns0:line="276" ns0:lineRule="auto" ns0:before="0" ns0:after="40"/>
            </ns0:pP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家庭期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25-45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家庭经营（亲密关系维护、育儿）；育儿角色适应；家庭压力管理；家庭财务规划；代际关系处理；夫妻关系维护；工作-家庭平衡；家庭仪式与传统建立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Erikson繁衍vs停滞；家庭系统理论（Bowen）；依恋理论代际传递；Gottman夫妻关系研究；家庭韧性模型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家庭运动习惯传承；亲子运动活动；家庭健康饮食管理；产后恢复（女性）；家庭时间管理；育儿期运动时间压缩应对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家庭健康行为研究；亲子运动发展；产后运动康复指南；家庭健康促进模型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产前准备与迎接新生儿；新手父母心理调适；亲子关系指导；自我照顾支持；育儿指导（0-14岁）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中年期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40-60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晶体智力峰值（知识、经验、判断力最强时期）；模式识别专长；智慧与判断力（从知识到智慧）；知识传承（mentor/教练角色）；生命回顾倾向；中年转型与意义重塑；情绪调节成熟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Erikson繁衍后期；Baltes选择性优化与补偿模型（SOC）；Horn晶体/流体智力理论；Levinson中年转型理论；Carstensen社会情绪选择理论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肌少症预防（sarcopenia，40岁后肌肉量每10年约降8%）；骨密度维护（尤其女性围绝经期加速流失）；心血管风险上升应对；关节养护与活动度维持；代谢综合征预防（胰岛素抵抗、腹型肥胖）；激素变化适应（围绝经期/男性更年期）；恢复能力下降（训练间需更长恢复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肌少症研究（Rosenberg, 1997起）；WHO骨质疏松防治指南；ACSM中老年人抗阻训练指南；激素变化与运动干预研究；中年心血管风险队列研究</ns0:t>
            </ns0:r>
          </ns0:p>
        </ns0:tc>
        <ns0:tc>
          <ns0:p>
            <ns0:pPr>
              <ns0:spacing ns0:line="276" ns0:lineRule="auto" ns0:before="0" ns0:after="40"/>
            </ns0:pPr>
            <ns0:pPr>
              <ns0:spacing ns0:line="276" ns0:lineRule="auto" ns0:before="0" ns0:after="40"/>
            </ns0:pP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老年期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60+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智慧结晶（生活经验的高度整合）；选择性优化与补偿（聚焦重要之事，用策略弥补衰退）；认知衰退预防（神经可塑性训练）；记忆策略（外部辅助、编码策略）；生命叙事整合（接纳过去，找到意义）；社会连接维护（对抗孤独）；自主性维护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Erikson整合vs绝望（60+）；Baltes SOC模型；Butler生命回顾疗法；神经可塑性研究（Merzenich等）；Carstensen社会情绪选择理论（优先情感有意义的关系）；认知储备理论（Stern）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防跌倒训练（平衡、力量、反应速度）；骨密度维护（承重运动+抗阻训练）；关节活动度与柔韧性；温和有氧运动（散步、太极、水中运动）；认知-运动双重任务训练（运动同时进行认知挑战，如太极拳）；慢性病运动处方（糖尿病、高血压、关节炎）；功能独立性维护（日常活动能力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WHO老年人运动指南（2020）；跌倒预防循证干预（Cochrane系统综述）；太极拳防跌倒Meta分析；认知-运动双重任务训练研究；Fried衰弱综合征表型标准</ns0:t>
            </ns0:r>
          </ns0:p>
        </ns0:tc>
        <ns0:tc>
          <ns0:p>
            <ns0:pPr>
              <ns0:spacing ns0:line="276" ns0:lineRule="auto" ns0:before="0" ns0:after="40"/>
            </ns0:pPr>
            <ns0:pPr>
              <ns0:spacing ns0:line="276" ns0:lineRule="auto" ns0:before="0" ns0:after="40"/>
            </ns0:pPr>
          </ns0:p>
        </ns0:tc>
      </ns0:tr>
    </ns0:tbl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0-18岁育儿指导</ns0:t>
      </ns0:r>
      <ns0:r>
        <ns0:t xml:space="preserve">：0-18岁阶段的内容（婴幼儿0-3、学龄前3-6、学龄初6-9、学龄中9-12、青春期前12-14、青春期14-18）归属</ns0:t>
      </ns0:r>
      <ns0:r>
        <ns0:rPr>
          <ns0:bCs/>
          <ns0:b/>
        </ns0:rPr>
        <ns0:t xml:space="preserve">家庭期</ns0:t>
      </ns0:r>
      <ns0:r>
        <ns0:t xml:space="preserve">的育儿指导目录，详见 「家庭期育儿指南」。0-14岁面向家长（照料者），聚焦儿童发展和养育；14-18岁面向家长，聚焦青春期亲子关系、心理危机识别、学业压力和数字生活管理。14岁后学习者本人的内容归属「青春期阶段目录」。</ns0:t>
      </ns0:r>
    </ns0:p>
    <ns0:bookmarkEnd ns0:id="24"/>
    <ns0:bookmarkEnd ns0:id="25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2026-06-19T08:17:59Z</dcterms:created>
  <dcterms:modified xsi:type="dcterms:W3CDTF">2026-06-19T08:17:59Z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