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23" ns0:name="青春期14-18岁-父母指导"/>
    <ns0:p>
      <ns0:pPr>
        <ns0:pStyle ns0:val="Heading1"/>
        <ns0:spacing ns0:line="276" ns0:lineRule="auto" ns0:before="160" ns0:after="80"/>
      </ns0:pPr>
      <ns0:r>
        <ns0:t xml:space="preserve">青春期（14-18岁）— 父母指导</ns0:t>
      </ns0:r>
    </ns0:p>
    <ns0:bookmarkStart ns0:id="20" ns0:name="阶段概述"/>
    <ns0:p>
      <ns0:pPr>
        <ns0:pStyle ns0:val="Heading2"/>
        <ns0:spacing ns0:line="276" ns0:lineRule="auto" ns0:before="120" ns0:after="60"/>
      </ns0:pPr>
      <ns0:r>
        <ns0:t xml:space="preserve">阶段概述</ns0:t>
      </ns0:r>
    </ns0:p>
    <ns0:p>
      <ns0:pPr>
        <ns0:pStyle ns0:val="FirstParagraph"/>
        <ns0:spacing ns0:line="276" ns0:lineRule="auto" ns0:before="0" ns0:after="40"/>
      </ns0:pPr>
      <ns0:r>
        <ns0:t xml:space="preserve">14-18岁是青少年走向独立的关键阶段，也是父母角色从</ns0:t>
      </ns0:r>
      <ns0:r>
        <ns0:t xml:space="preserve">“</ns0:t>
      </ns0:r>
      <ns0:r>
        <ns0:t xml:space="preserve">管理者</ns0:t>
      </ns0:r>
      <ns0:r>
        <ns0:t xml:space="preserve">”</ns0:t>
      </ns0:r>
      <ns0:r>
        <ns0:t xml:space="preserve">向</ns0:t>
      </ns0:r>
      <ns0:r>
        <ns0:t xml:space="preserve">“</ns0:t>
      </ns0:r>
      <ns0:r>
        <ns0:t xml:space="preserve">顾问</ns0:t>
      </ns0:r>
      <ns0:r>
        <ns0:t xml:space="preserve">”</ns0:t>
      </ns0:r>
      <ns0:r>
        <ns0:t xml:space="preserve">转型的艰难时期。认知上，青少年具备了形式运算能力，能进行抽象思维和批判性思考，开始质疑父母的价值观和权威；情感上，身份认同成为核心任务，情绪波动剧烈，心理健康风险显著上升；社会关系上，同伴影响力达到顶峰，亲密关系萌芽，家庭不再是唯一的安全基地。</ns0:t>
      </ns0:r>
    </ns0:p>
    <ns0:p>
      <ns0:pPr>
        <ns0:pStyle ns0:val="BodyText"/>
        <ns0:spacing ns0:line="276" ns0:lineRule="auto" ns0:before="0" ns0:after="40"/>
      </ns0:pPr>
      <ns0:r>
        <ns0:t xml:space="preserve">对父母而言，这个阶段的核心挑战是：在孩子追求自主的同时，如何保持连接、守住安全底线、并在需要时提供支持。这要求父母具备全新的沟通方式、边界设定策略和危机识别能力。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认知与心理主线父母视角"/>
    <ns0:p>
      <ns0:pPr>
        <ns0:pStyle ns0:val="Heading2"/>
        <ns0:spacing ns0:line="276" ns0:lineRule="auto" ns0:before="120" ns0:after="60"/>
      </ns0:pPr>
      <ns0:r>
        <ns0:t xml:space="preserve">认知与心理主线（父母视角）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详情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青春期亲子沟通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从命令式到对话式，重建沟通通道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14-18岁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「亲子沟通」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叛逆与冲突应对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理解叛逆功能，从权力争夺到协商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14-18岁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「叛逆与冲突」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心理健康危机识别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抑郁、自伤、自杀风险的早期识别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14-18岁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「心理健康」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升学压力与学业焦虑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高考焦虑管理、亲子期望对齐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14-18岁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「升学压力」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数字设备与网络管理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游戏、社交媒体、屏幕时间治理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14-18岁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「数字生活」</ns0:t>
            </ns0:r>
          </ns0:p>
        </ns0:tc>
      </ns0:tr>
    </ns0:tbl>
    <ns0:bookmarkEnd ns0:id="21"/>
    <ns0:bookmarkStart ns0:id="22" ns0:name="理论依据"/>
    <ns0:p>
      <ns0:pPr>
        <ns0:pStyle ns0:val="Heading2"/>
        <ns0:spacing ns0:line="276" ns0:lineRule="auto" ns0:before="120" ns0:after="60"/>
      </ns0:pPr>
      <ns0:r>
        <ns0:t xml:space="preserve">理论依据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埃里克森身份 vs 角色混乱（12-18岁）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Steinberg 双系统模型（情绪系统先于控制系统成熟）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Bowlby 依恋理论青少年期扩展（安全基地功能转型）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Patterson 强制循环理论（亲子冲突的升级机制）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中国《家庭教育促进法》（2022）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中国《未成年人保护法》（2021修订）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WHO 青少年心理健康指南</ns0:t>
      </ns0:r>
    </ns0:p>
    <ns0:bookmarkEnd ns0:id="22"/>
    <ns0:bookmarkEnd ns0:id="23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2026-06-19T08:17:41Z</dcterms:created>
  <dcterms:modified xsi:type="dcterms:W3CDTF">2026-06-19T08:17:41Z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