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16FC07" w14:textId="56CB3B1F" w:rsidR="00CC0D5C" w:rsidRPr="00B909F6" w:rsidRDefault="00B909F6">
      <w:pPr>
        <w:rPr>
          <w:b/>
          <w:bCs/>
          <w:color w:val="FF0000"/>
        </w:rPr>
      </w:pPr>
      <w:r w:rsidRPr="00B909F6">
        <w:rPr>
          <w:b/>
          <w:bCs/>
          <w:color w:val="FF0000"/>
        </w:rPr>
        <w:t>Banco de Dados Analítico – Aula 02</w:t>
      </w:r>
    </w:p>
    <w:p w14:paraId="4DA7F9DD" w14:textId="402978D0" w:rsidR="00B909F6" w:rsidRDefault="00B909F6">
      <w:pPr>
        <w:rPr>
          <w:b/>
          <w:bCs/>
        </w:rPr>
      </w:pPr>
    </w:p>
    <w:p w14:paraId="120CA220" w14:textId="50953869" w:rsidR="00B909F6" w:rsidRDefault="00B909F6">
      <w:pPr>
        <w:rPr>
          <w:b/>
          <w:bCs/>
        </w:rPr>
      </w:pPr>
      <w:r w:rsidRPr="00B909F6">
        <w:rPr>
          <w:b/>
          <w:bCs/>
          <w:color w:val="FF0000"/>
        </w:rPr>
        <w:t>SOX</w:t>
      </w:r>
      <w:r>
        <w:rPr>
          <w:b/>
          <w:bCs/>
        </w:rPr>
        <w:t xml:space="preserve"> – Sarbanes oxley</w:t>
      </w:r>
      <w:r w:rsidR="001673E1">
        <w:rPr>
          <w:b/>
          <w:bCs/>
        </w:rPr>
        <w:t xml:space="preserve">, uma lei que trabalha em cima da credibilidade, mexendo com o mercado. </w:t>
      </w:r>
    </w:p>
    <w:p w14:paraId="453E74CF" w14:textId="6C244945" w:rsidR="003F1707" w:rsidRDefault="003B6ADE" w:rsidP="003F170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Lei p</w:t>
      </w:r>
      <w:r w:rsidR="003F1707">
        <w:rPr>
          <w:b/>
          <w:bCs/>
        </w:rPr>
        <w:t>romulgada em 30 de julho de 2002</w:t>
      </w:r>
    </w:p>
    <w:p w14:paraId="7864E138" w14:textId="58EA77B0" w:rsidR="003F1707" w:rsidRDefault="003F1707" w:rsidP="003F170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Estabelece que os CEO’S e CFO’S devem certificar a apresentação </w:t>
      </w:r>
      <w:r w:rsidR="003B6ADE">
        <w:rPr>
          <w:b/>
          <w:bCs/>
        </w:rPr>
        <w:t>trimestral e anual de relatórios financeiros para a SEC – Securities and Exchange Commission</w:t>
      </w:r>
    </w:p>
    <w:p w14:paraId="011A2235" w14:textId="2294133D" w:rsidR="003B6ADE" w:rsidRDefault="003B6ADE" w:rsidP="003F170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Indícios de falsificação ou irregularidades podem resultar em penas legais que incluem a prisão de CEO e CFO;</w:t>
      </w:r>
    </w:p>
    <w:p w14:paraId="15E2428B" w14:textId="28861996" w:rsidR="007D6235" w:rsidRDefault="007D6235" w:rsidP="003F170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Tem o o</w:t>
      </w:r>
      <w:r w:rsidRPr="007D6235">
        <w:rPr>
          <w:b/>
          <w:bCs/>
        </w:rPr>
        <w:t>bjetivo de proteger investidores e o público contra erros contábeis e práticas fraudulentas em empresas de capital aberto</w:t>
      </w:r>
    </w:p>
    <w:p w14:paraId="43F153DC" w14:textId="77777777" w:rsidR="001A0094" w:rsidRPr="00387DC0" w:rsidRDefault="001A0094" w:rsidP="001A0094">
      <w:pPr>
        <w:rPr>
          <w:b/>
          <w:bCs/>
          <w:color w:val="FF0000"/>
        </w:rPr>
      </w:pPr>
    </w:p>
    <w:p w14:paraId="5E19E7F3" w14:textId="43D5DCAE" w:rsidR="001A0094" w:rsidRDefault="001A0094" w:rsidP="001A0094">
      <w:pPr>
        <w:rPr>
          <w:b/>
          <w:bCs/>
          <w:color w:val="FF0000"/>
        </w:rPr>
      </w:pPr>
      <w:r w:rsidRPr="00387DC0">
        <w:rPr>
          <w:b/>
          <w:bCs/>
          <w:color w:val="FF0000"/>
        </w:rPr>
        <w:t xml:space="preserve">O que </w:t>
      </w:r>
      <w:r w:rsidR="0059667A">
        <w:rPr>
          <w:b/>
          <w:bCs/>
          <w:color w:val="FF0000"/>
        </w:rPr>
        <w:t xml:space="preserve">a </w:t>
      </w:r>
      <w:r w:rsidRPr="00387DC0">
        <w:rPr>
          <w:b/>
          <w:bCs/>
          <w:color w:val="FF0000"/>
        </w:rPr>
        <w:t>SOX tem a ver com dados?</w:t>
      </w:r>
    </w:p>
    <w:p w14:paraId="77B99BD0" w14:textId="7BC311B7" w:rsidR="0023253B" w:rsidRPr="00387DC0" w:rsidRDefault="0023253B" w:rsidP="001A0094">
      <w:pPr>
        <w:rPr>
          <w:b/>
          <w:bCs/>
          <w:color w:val="FF0000"/>
        </w:rPr>
      </w:pPr>
      <w:r>
        <w:rPr>
          <w:b/>
          <w:bCs/>
          <w:color w:val="FF0000"/>
        </w:rPr>
        <w:t>Controles Internos</w:t>
      </w:r>
    </w:p>
    <w:p w14:paraId="531BEDDE" w14:textId="0C709C8B" w:rsidR="001A0094" w:rsidRDefault="001A0094" w:rsidP="001A0094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 SOX estabelece vários pontos obrigatórios de controle nas operações da organização</w:t>
      </w:r>
    </w:p>
    <w:p w14:paraId="3E25BBEE" w14:textId="6EEF10C9" w:rsidR="001A0094" w:rsidRDefault="001A0094" w:rsidP="001A0094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Não há uma precisão sobre como esses controles devem ser implementados ou quais são os pontos críticos a serem protegidos, todavi</w:t>
      </w:r>
      <w:r w:rsidR="00E575C9">
        <w:rPr>
          <w:b/>
          <w:bCs/>
        </w:rPr>
        <w:t>a é exigido que uma empresa independente faça auditoria periódica dos controles internos estabelecidos e os certifique</w:t>
      </w:r>
    </w:p>
    <w:p w14:paraId="7CA4D7D9" w14:textId="728E6BE2" w:rsidR="00387DC0" w:rsidRPr="00BA7128" w:rsidRDefault="00E575C9" w:rsidP="00387DC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Como garantir que alto dito é verdadeiro? </w:t>
      </w:r>
      <w:r w:rsidRPr="00387DC0">
        <w:rPr>
          <w:b/>
          <w:bCs/>
          <w:color w:val="FF0000"/>
        </w:rPr>
        <w:t>Com dados</w:t>
      </w:r>
      <w:r>
        <w:rPr>
          <w:b/>
          <w:bCs/>
        </w:rPr>
        <w:t xml:space="preserve">. E onde estão esses dados devidamente organizados para que se possa aferir o que foi dito? </w:t>
      </w:r>
      <w:r w:rsidRPr="00387DC0">
        <w:rPr>
          <w:b/>
          <w:bCs/>
          <w:color w:val="FF0000"/>
        </w:rPr>
        <w:t>Nas soluções de BI</w:t>
      </w:r>
      <w:r>
        <w:rPr>
          <w:b/>
          <w:bCs/>
        </w:rPr>
        <w:t>, atreladas a indicadores de desempenho que o mercado aceita, como o</w:t>
      </w:r>
      <w:r w:rsidRPr="00387DC0">
        <w:rPr>
          <w:b/>
          <w:bCs/>
          <w:color w:val="FF0000"/>
        </w:rPr>
        <w:t xml:space="preserve"> BSC</w:t>
      </w:r>
    </w:p>
    <w:p w14:paraId="56E70906" w14:textId="77777777" w:rsidR="005B45F3" w:rsidRDefault="005B45F3" w:rsidP="00387DC0">
      <w:pPr>
        <w:rPr>
          <w:b/>
          <w:bCs/>
        </w:rPr>
      </w:pPr>
    </w:p>
    <w:p w14:paraId="104EAA8C" w14:textId="26C44447" w:rsidR="00767EB6" w:rsidRPr="0088572A" w:rsidRDefault="00767EB6" w:rsidP="00387DC0">
      <w:pPr>
        <w:rPr>
          <w:b/>
          <w:bCs/>
          <w:color w:val="FF0000"/>
        </w:rPr>
      </w:pPr>
      <w:r w:rsidRPr="0088572A">
        <w:rPr>
          <w:b/>
          <w:bCs/>
          <w:color w:val="FF0000"/>
        </w:rPr>
        <w:t>PCABO e COSO</w:t>
      </w:r>
    </w:p>
    <w:p w14:paraId="632B3520" w14:textId="35149E96" w:rsidR="005B45F3" w:rsidRDefault="0088572A" w:rsidP="00387DC0">
      <w:pPr>
        <w:rPr>
          <w:b/>
          <w:bCs/>
        </w:rPr>
      </w:pPr>
      <w:r w:rsidRPr="0088572A">
        <w:rPr>
          <w:b/>
          <w:bCs/>
          <w:noProof/>
        </w:rPr>
        <w:drawing>
          <wp:inline distT="0" distB="0" distL="0" distR="0" wp14:anchorId="51CFC728" wp14:editId="39743CD3">
            <wp:extent cx="5400040" cy="21850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F858" w14:textId="77777777" w:rsidR="00BA7128" w:rsidRDefault="00BA7128" w:rsidP="00387DC0">
      <w:pPr>
        <w:rPr>
          <w:b/>
          <w:bCs/>
        </w:rPr>
      </w:pPr>
    </w:p>
    <w:p w14:paraId="3C864E3D" w14:textId="77777777" w:rsidR="00BA7128" w:rsidRDefault="00BA7128" w:rsidP="00387DC0">
      <w:pPr>
        <w:rPr>
          <w:b/>
          <w:bCs/>
        </w:rPr>
      </w:pPr>
    </w:p>
    <w:p w14:paraId="1337C7A7" w14:textId="77777777" w:rsidR="00BA7128" w:rsidRDefault="00BA7128" w:rsidP="00387DC0">
      <w:pPr>
        <w:rPr>
          <w:b/>
          <w:bCs/>
        </w:rPr>
      </w:pPr>
    </w:p>
    <w:p w14:paraId="1422429A" w14:textId="5298EFD5" w:rsidR="005B45F3" w:rsidRPr="005B45F3" w:rsidRDefault="005B45F3" w:rsidP="00387DC0">
      <w:pPr>
        <w:rPr>
          <w:b/>
          <w:bCs/>
          <w:color w:val="FF0000"/>
        </w:rPr>
      </w:pPr>
      <w:r w:rsidRPr="005B45F3">
        <w:rPr>
          <w:b/>
          <w:bCs/>
          <w:color w:val="FF0000"/>
        </w:rPr>
        <w:lastRenderedPageBreak/>
        <w:t>COSO</w:t>
      </w:r>
    </w:p>
    <w:p w14:paraId="34BB5B65" w14:textId="183DF2D8" w:rsidR="005B45F3" w:rsidRDefault="005B45F3" w:rsidP="00387DC0">
      <w:pPr>
        <w:rPr>
          <w:b/>
          <w:bCs/>
        </w:rPr>
      </w:pPr>
      <w:r w:rsidRPr="005B45F3">
        <w:rPr>
          <w:b/>
          <w:bCs/>
          <w:noProof/>
        </w:rPr>
        <w:drawing>
          <wp:inline distT="0" distB="0" distL="0" distR="0" wp14:anchorId="1B99F8E1" wp14:editId="296DED43">
            <wp:extent cx="5400040" cy="26650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4F48" w14:textId="6A68F149" w:rsidR="005B45F3" w:rsidRDefault="00EB40C4" w:rsidP="00387DC0">
      <w:pPr>
        <w:rPr>
          <w:b/>
          <w:bCs/>
        </w:rPr>
      </w:pPr>
      <w:r w:rsidRPr="00EB40C4">
        <w:rPr>
          <w:b/>
          <w:bCs/>
          <w:noProof/>
        </w:rPr>
        <w:drawing>
          <wp:inline distT="0" distB="0" distL="0" distR="0" wp14:anchorId="56FD6452" wp14:editId="47802FA5">
            <wp:extent cx="5400040" cy="32137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2D3F" w14:textId="77777777" w:rsidR="00C37A36" w:rsidRDefault="00C37A36" w:rsidP="00387DC0">
      <w:pPr>
        <w:rPr>
          <w:b/>
          <w:bCs/>
        </w:rPr>
      </w:pPr>
    </w:p>
    <w:p w14:paraId="1AEC5118" w14:textId="77777777" w:rsidR="00FC46EC" w:rsidRDefault="00FC46EC" w:rsidP="00387DC0">
      <w:pPr>
        <w:rPr>
          <w:b/>
          <w:bCs/>
        </w:rPr>
      </w:pPr>
    </w:p>
    <w:p w14:paraId="657B2684" w14:textId="25C7150D" w:rsidR="00FC46EC" w:rsidRPr="00BA7128" w:rsidRDefault="00FC46EC" w:rsidP="00387DC0">
      <w:pPr>
        <w:rPr>
          <w:b/>
          <w:bCs/>
          <w:color w:val="FF0000"/>
        </w:rPr>
      </w:pPr>
      <w:r w:rsidRPr="00BA7128">
        <w:rPr>
          <w:b/>
          <w:bCs/>
          <w:color w:val="FF0000"/>
        </w:rPr>
        <w:t>Conclusão SOX</w:t>
      </w:r>
    </w:p>
    <w:p w14:paraId="6FD787C7" w14:textId="0B07A006" w:rsidR="00FC46EC" w:rsidRDefault="00BA6FC5" w:rsidP="00BA6FC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É muito mais um padrão de controles de segurança da informação, totalmente aceito pelo mercado</w:t>
      </w:r>
    </w:p>
    <w:p w14:paraId="2086F593" w14:textId="1F768C7F" w:rsidR="00BA6FC5" w:rsidRDefault="00BA6FC5" w:rsidP="00BA6FC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Uma organização que possua gerenciamento da segurança da </w:t>
      </w:r>
      <w:r w:rsidR="00A8736A">
        <w:rPr>
          <w:b/>
          <w:bCs/>
        </w:rPr>
        <w:t>informação é minimamente impactada pelo SOX</w:t>
      </w:r>
    </w:p>
    <w:p w14:paraId="41B9A865" w14:textId="77777777" w:rsidR="00C37A36" w:rsidRDefault="00A8736A" w:rsidP="00C37A36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 SOX visa tornar os princípios de uma boa governança corporativa evitando </w:t>
      </w:r>
      <w:r w:rsidR="00BA7128">
        <w:rPr>
          <w:b/>
          <w:bCs/>
        </w:rPr>
        <w:t>o surgimento de novas fraudes na empresa</w:t>
      </w:r>
    </w:p>
    <w:p w14:paraId="44337870" w14:textId="77777777" w:rsidR="00C37A36" w:rsidRDefault="00C37A36" w:rsidP="00C37A36">
      <w:pPr>
        <w:rPr>
          <w:b/>
          <w:bCs/>
          <w:color w:val="FF0000"/>
        </w:rPr>
      </w:pPr>
    </w:p>
    <w:p w14:paraId="7EDA0BF0" w14:textId="77777777" w:rsidR="00EA1B08" w:rsidRDefault="00BA7128" w:rsidP="00010A82">
      <w:pPr>
        <w:rPr>
          <w:b/>
          <w:bCs/>
        </w:rPr>
      </w:pPr>
      <w:r w:rsidRPr="00C37A36">
        <w:rPr>
          <w:b/>
          <w:bCs/>
          <w:color w:val="FF0000"/>
        </w:rPr>
        <w:lastRenderedPageBreak/>
        <w:t>BSC</w:t>
      </w:r>
    </w:p>
    <w:p w14:paraId="45130D00" w14:textId="0E090468" w:rsidR="00BA7128" w:rsidRPr="00010A82" w:rsidRDefault="00BA7128" w:rsidP="00010A82">
      <w:pPr>
        <w:rPr>
          <w:b/>
          <w:bCs/>
        </w:rPr>
      </w:pPr>
      <w:r w:rsidRPr="00010A82">
        <w:rPr>
          <w:b/>
          <w:bCs/>
        </w:rPr>
        <w:t xml:space="preserve">O </w:t>
      </w:r>
      <w:r w:rsidRPr="00010A82">
        <w:rPr>
          <w:b/>
          <w:bCs/>
          <w:color w:val="FF0000"/>
        </w:rPr>
        <w:t>Balanced Scorecard</w:t>
      </w:r>
      <w:r w:rsidRPr="00010A82">
        <w:rPr>
          <w:b/>
          <w:bCs/>
        </w:rPr>
        <w:t xml:space="preserve">, ou </w:t>
      </w:r>
      <w:r w:rsidRPr="00010A82">
        <w:rPr>
          <w:b/>
          <w:bCs/>
          <w:color w:val="FF0000"/>
        </w:rPr>
        <w:t>BSC</w:t>
      </w:r>
      <w:r w:rsidRPr="00010A82">
        <w:rPr>
          <w:b/>
          <w:bCs/>
        </w:rPr>
        <w:t xml:space="preserve">, é uma ferramenta de gestão estratégica que ajuda as empresas a definirem e acompanharem seus objetivos de forma mais completa </w:t>
      </w:r>
    </w:p>
    <w:p w14:paraId="4352BB09" w14:textId="60893B82" w:rsidR="00627314" w:rsidRDefault="00627314" w:rsidP="00C37A36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É um </w:t>
      </w:r>
      <w:r w:rsidRPr="00010A82">
        <w:rPr>
          <w:b/>
          <w:bCs/>
          <w:color w:val="FF0000"/>
        </w:rPr>
        <w:t xml:space="preserve">modelo de gestão </w:t>
      </w:r>
      <w:r>
        <w:rPr>
          <w:b/>
          <w:bCs/>
        </w:rPr>
        <w:t xml:space="preserve">que auxilia as organizações </w:t>
      </w:r>
      <w:r w:rsidR="00010A82">
        <w:rPr>
          <w:b/>
          <w:bCs/>
        </w:rPr>
        <w:t xml:space="preserve">a </w:t>
      </w:r>
      <w:r w:rsidR="00010A82" w:rsidRPr="00010A82">
        <w:rPr>
          <w:b/>
          <w:bCs/>
          <w:color w:val="FF0000"/>
        </w:rPr>
        <w:t xml:space="preserve">traduzir em estratégia </w:t>
      </w:r>
      <w:r w:rsidR="00010A82">
        <w:rPr>
          <w:b/>
          <w:bCs/>
        </w:rPr>
        <w:t xml:space="preserve">em </w:t>
      </w:r>
      <w:r w:rsidR="00010A82" w:rsidRPr="00010A82">
        <w:rPr>
          <w:b/>
          <w:bCs/>
          <w:color w:val="FF0000"/>
        </w:rPr>
        <w:t xml:space="preserve">ações operacionais </w:t>
      </w:r>
      <w:r w:rsidR="00010A82">
        <w:rPr>
          <w:b/>
          <w:bCs/>
        </w:rPr>
        <w:t>que direcionam</w:t>
      </w:r>
      <w:r w:rsidR="00D26B90">
        <w:rPr>
          <w:b/>
          <w:bCs/>
        </w:rPr>
        <w:t xml:space="preserve"> o comportamento e o</w:t>
      </w:r>
      <w:r w:rsidR="00D26B90" w:rsidRPr="00D26B90">
        <w:rPr>
          <w:b/>
          <w:bCs/>
          <w:color w:val="FF0000"/>
        </w:rPr>
        <w:t xml:space="preserve"> desempenho</w:t>
      </w:r>
    </w:p>
    <w:p w14:paraId="0A865F6A" w14:textId="062B8B10" w:rsidR="00D26B90" w:rsidRPr="00D26B90" w:rsidRDefault="00D26B90" w:rsidP="00D26B90">
      <w:pPr>
        <w:rPr>
          <w:b/>
          <w:bCs/>
        </w:rPr>
      </w:pPr>
    </w:p>
    <w:p w14:paraId="1F1533EA" w14:textId="32FF8A1E" w:rsidR="00BA7128" w:rsidRPr="00EA1B08" w:rsidRDefault="00EA1B08" w:rsidP="00BA7128">
      <w:pPr>
        <w:rPr>
          <w:b/>
          <w:bCs/>
          <w:color w:val="FF0000"/>
        </w:rPr>
      </w:pPr>
      <w:r w:rsidRPr="00EA1B08">
        <w:rPr>
          <w:b/>
          <w:bCs/>
          <w:color w:val="FF0000"/>
        </w:rPr>
        <w:t>Definições</w:t>
      </w:r>
      <w:r w:rsidR="008F6D5C">
        <w:rPr>
          <w:b/>
          <w:bCs/>
          <w:color w:val="FF0000"/>
        </w:rPr>
        <w:t xml:space="preserve"> Balanced Scorecard</w:t>
      </w:r>
    </w:p>
    <w:p w14:paraId="51FAA339" w14:textId="77777777" w:rsidR="00116B73" w:rsidRDefault="00EA1B08" w:rsidP="00BA7128">
      <w:pPr>
        <w:rPr>
          <w:b/>
          <w:bCs/>
        </w:rPr>
      </w:pPr>
      <w:r w:rsidRPr="00EA1B08">
        <w:rPr>
          <w:b/>
          <w:bCs/>
          <w:noProof/>
        </w:rPr>
        <w:drawing>
          <wp:inline distT="0" distB="0" distL="0" distR="0" wp14:anchorId="7A5B1AD8" wp14:editId="4DF74DA2">
            <wp:extent cx="4594860" cy="285828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1825" cy="287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A251" w14:textId="77777777" w:rsidR="00116B73" w:rsidRDefault="00116B73" w:rsidP="00BA7128">
      <w:pPr>
        <w:rPr>
          <w:b/>
          <w:bCs/>
        </w:rPr>
      </w:pPr>
    </w:p>
    <w:p w14:paraId="605A4412" w14:textId="0F01A4BB" w:rsidR="00116B73" w:rsidRPr="00353234" w:rsidRDefault="00116B73" w:rsidP="00BA7128">
      <w:pPr>
        <w:rPr>
          <w:b/>
          <w:bCs/>
          <w:color w:val="FF0000"/>
        </w:rPr>
      </w:pPr>
      <w:r w:rsidRPr="00353234">
        <w:rPr>
          <w:b/>
          <w:bCs/>
          <w:color w:val="FF0000"/>
        </w:rPr>
        <w:t xml:space="preserve">Definindo o BSC em um slide </w:t>
      </w:r>
      <w:r w:rsidR="00F54078">
        <w:rPr>
          <w:b/>
          <w:bCs/>
          <w:color w:val="FF0000"/>
        </w:rPr>
        <w:t>(Esquema Teórico)</w:t>
      </w:r>
    </w:p>
    <w:p w14:paraId="5FEFD20B" w14:textId="22E7B987" w:rsidR="00E96FB6" w:rsidRDefault="00116B73" w:rsidP="00E96FB6">
      <w:pPr>
        <w:rPr>
          <w:b/>
          <w:bCs/>
        </w:rPr>
      </w:pPr>
      <w:r w:rsidRPr="00116B73">
        <w:rPr>
          <w:b/>
          <w:bCs/>
          <w:noProof/>
        </w:rPr>
        <w:drawing>
          <wp:inline distT="0" distB="0" distL="0" distR="0" wp14:anchorId="2068B96B" wp14:editId="4932F457">
            <wp:extent cx="5257800" cy="353281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51" cy="35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620">
        <w:rPr>
          <w:b/>
          <w:bCs/>
        </w:rPr>
        <w:t xml:space="preserve"> </w:t>
      </w:r>
    </w:p>
    <w:p w14:paraId="0E59CA10" w14:textId="77777777" w:rsidR="00E96FB6" w:rsidRPr="00407716" w:rsidRDefault="00E96FB6" w:rsidP="00E96FB6">
      <w:pPr>
        <w:rPr>
          <w:b/>
          <w:color w:val="FF0000"/>
        </w:rPr>
      </w:pPr>
      <w:r w:rsidRPr="00407716">
        <w:rPr>
          <w:b/>
          <w:color w:val="FF0000"/>
        </w:rPr>
        <w:lastRenderedPageBreak/>
        <w:t xml:space="preserve">Balanced Scorecard – continuando </w:t>
      </w:r>
    </w:p>
    <w:p w14:paraId="25A98807" w14:textId="77777777" w:rsidR="00E96FB6" w:rsidRDefault="00E96FB6" w:rsidP="00E96FB6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Metodologia de gerenciamento de performance, iniciada em 1992</w:t>
      </w:r>
    </w:p>
    <w:p w14:paraId="73D44191" w14:textId="77777777" w:rsidR="00E96FB6" w:rsidRDefault="00E96FB6" w:rsidP="00E96FB6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Sistema para a comunicação multi-dimensional, implementando e gerenciando a estratégia em todos os níveis</w:t>
      </w:r>
    </w:p>
    <w:p w14:paraId="30E44D64" w14:textId="77777777" w:rsidR="00E96FB6" w:rsidRDefault="00E96FB6" w:rsidP="00E96FB6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Fornece uma visão “empresarial” da performance, integrando:</w:t>
      </w:r>
    </w:p>
    <w:p w14:paraId="4179B697" w14:textId="77777777" w:rsidR="00E96FB6" w:rsidRDefault="00E96FB6" w:rsidP="00E96FB6">
      <w:pPr>
        <w:pStyle w:val="PargrafodaLista"/>
        <w:rPr>
          <w:b/>
        </w:rPr>
      </w:pPr>
      <w:r w:rsidRPr="00407716">
        <w:rPr>
          <w:b/>
        </w:rPr>
        <w:t xml:space="preserve">–  </w:t>
      </w:r>
      <w:r>
        <w:rPr>
          <w:b/>
        </w:rPr>
        <w:t xml:space="preserve"> Medidas financeiras</w:t>
      </w:r>
    </w:p>
    <w:p w14:paraId="755EA0B5" w14:textId="77777777" w:rsidR="00E96FB6" w:rsidRDefault="00E96FB6" w:rsidP="00E96FB6">
      <w:pPr>
        <w:pStyle w:val="PargrafodaLista"/>
        <w:rPr>
          <w:b/>
        </w:rPr>
      </w:pPr>
      <w:r w:rsidRPr="00407716">
        <w:rPr>
          <w:b/>
        </w:rPr>
        <w:t xml:space="preserve">–  </w:t>
      </w:r>
      <w:r>
        <w:rPr>
          <w:b/>
        </w:rPr>
        <w:t xml:space="preserve"> Perspectivas de cliente</w:t>
      </w:r>
    </w:p>
    <w:p w14:paraId="4A48487F" w14:textId="77777777" w:rsidR="00E96FB6" w:rsidRDefault="00E96FB6" w:rsidP="00E96FB6">
      <w:pPr>
        <w:pStyle w:val="PargrafodaLista"/>
        <w:rPr>
          <w:b/>
        </w:rPr>
      </w:pPr>
      <w:r w:rsidRPr="00407716">
        <w:rPr>
          <w:b/>
        </w:rPr>
        <w:t xml:space="preserve">–  </w:t>
      </w:r>
      <w:r>
        <w:rPr>
          <w:b/>
        </w:rPr>
        <w:t xml:space="preserve"> Processos internos dos negócios</w:t>
      </w:r>
    </w:p>
    <w:p w14:paraId="52121D02" w14:textId="77777777" w:rsidR="00E96FB6" w:rsidRDefault="00E96FB6" w:rsidP="00E96FB6">
      <w:pPr>
        <w:pStyle w:val="PargrafodaLista"/>
        <w:rPr>
          <w:b/>
        </w:rPr>
      </w:pPr>
      <w:r w:rsidRPr="00407716">
        <w:rPr>
          <w:b/>
        </w:rPr>
        <w:t xml:space="preserve">–  </w:t>
      </w:r>
      <w:r>
        <w:rPr>
          <w:b/>
        </w:rPr>
        <w:t xml:space="preserve"> Crescimento organizacional, aprendizado e inovações</w:t>
      </w:r>
    </w:p>
    <w:p w14:paraId="1BEFACA5" w14:textId="77777777" w:rsidR="00E96FB6" w:rsidRDefault="00E96FB6" w:rsidP="00E96FB6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Traduz a estratégia da empresa para os níveis operacionais</w:t>
      </w:r>
    </w:p>
    <w:p w14:paraId="4189D652" w14:textId="77777777" w:rsidR="00E96FB6" w:rsidRDefault="00E96FB6" w:rsidP="00BA7128">
      <w:pPr>
        <w:rPr>
          <w:b/>
          <w:bCs/>
          <w:color w:val="FF0000"/>
        </w:rPr>
      </w:pPr>
    </w:p>
    <w:p w14:paraId="1EF8BB2D" w14:textId="6B76A44C" w:rsidR="007E4CF4" w:rsidRPr="007E4CF4" w:rsidRDefault="007E4CF4" w:rsidP="00BA7128">
      <w:pPr>
        <w:rPr>
          <w:b/>
          <w:bCs/>
          <w:color w:val="FF0000"/>
        </w:rPr>
      </w:pPr>
      <w:r w:rsidRPr="007E4CF4">
        <w:rPr>
          <w:b/>
          <w:bCs/>
          <w:color w:val="FF0000"/>
        </w:rPr>
        <w:t>Diferença entre BI e BSC</w:t>
      </w:r>
    </w:p>
    <w:p w14:paraId="5C79A32C" w14:textId="03D86073" w:rsidR="002C48F3" w:rsidRDefault="002C48F3" w:rsidP="00BA7128">
      <w:pPr>
        <w:rPr>
          <w:b/>
          <w:bCs/>
        </w:rPr>
      </w:pPr>
      <w:r w:rsidRPr="007E4CF4">
        <w:rPr>
          <w:b/>
          <w:bCs/>
          <w:color w:val="FF0000"/>
        </w:rPr>
        <w:t xml:space="preserve">BI </w:t>
      </w:r>
      <w:r>
        <w:rPr>
          <w:b/>
          <w:bCs/>
        </w:rPr>
        <w:t>– Tecnologia aplicada</w:t>
      </w:r>
      <w:r w:rsidR="00EA60CD">
        <w:rPr>
          <w:b/>
          <w:bCs/>
        </w:rPr>
        <w:t xml:space="preserve">, </w:t>
      </w:r>
      <w:r w:rsidR="007E4CF4" w:rsidRPr="007E4CF4">
        <w:rPr>
          <w:b/>
          <w:bCs/>
        </w:rPr>
        <w:t>transformam dados brutos em informações úteis para a tomada de decisões estratégicas e operacionais nas empresas</w:t>
      </w:r>
    </w:p>
    <w:p w14:paraId="65DF3436" w14:textId="5BF875E3" w:rsidR="00EA60CD" w:rsidRDefault="00EA60CD" w:rsidP="00BA7128">
      <w:pPr>
        <w:rPr>
          <w:b/>
          <w:bCs/>
        </w:rPr>
      </w:pPr>
      <w:r w:rsidRPr="007E4CF4">
        <w:rPr>
          <w:b/>
          <w:bCs/>
          <w:color w:val="FF0000"/>
        </w:rPr>
        <w:t xml:space="preserve">BSC </w:t>
      </w:r>
      <w:r>
        <w:rPr>
          <w:b/>
          <w:bCs/>
        </w:rPr>
        <w:t>– Plataforma de indicadores, como chegar a números que me indiquem que estou no caminho certo, como chegar nesses indicadores</w:t>
      </w:r>
      <w:r w:rsidR="00DA16BA">
        <w:rPr>
          <w:b/>
          <w:bCs/>
        </w:rPr>
        <w:t xml:space="preserve">. Traduz </w:t>
      </w:r>
      <w:r w:rsidR="00B1092B">
        <w:rPr>
          <w:b/>
          <w:bCs/>
        </w:rPr>
        <w:t>a visão e a estratégia da empresa em um conjunto de indicadores.</w:t>
      </w:r>
    </w:p>
    <w:p w14:paraId="63539E17" w14:textId="77777777" w:rsidR="00D57E67" w:rsidRDefault="00D57E67" w:rsidP="00BA7128">
      <w:pPr>
        <w:rPr>
          <w:b/>
          <w:bCs/>
        </w:rPr>
      </w:pPr>
    </w:p>
    <w:p w14:paraId="576119F6" w14:textId="6D33EDB8" w:rsidR="00724242" w:rsidRPr="00724242" w:rsidRDefault="00724242" w:rsidP="00BA7128">
      <w:pPr>
        <w:rPr>
          <w:b/>
          <w:bCs/>
          <w:color w:val="FF0000"/>
        </w:rPr>
      </w:pPr>
      <w:r w:rsidRPr="00724242">
        <w:rPr>
          <w:b/>
          <w:bCs/>
          <w:color w:val="FF0000"/>
        </w:rPr>
        <w:t>Concluindo</w:t>
      </w:r>
    </w:p>
    <w:p w14:paraId="690F4DEA" w14:textId="01C92B09" w:rsidR="008D0979" w:rsidRPr="00E96FB6" w:rsidRDefault="00D57E67" w:rsidP="00BA7128">
      <w:pPr>
        <w:rPr>
          <w:b/>
          <w:bCs/>
        </w:rPr>
      </w:pPr>
      <w:r>
        <w:rPr>
          <w:b/>
          <w:bCs/>
        </w:rPr>
        <w:t xml:space="preserve">No processo de integração, o </w:t>
      </w:r>
      <w:r w:rsidRPr="00806EDE">
        <w:rPr>
          <w:b/>
          <w:bCs/>
          <w:color w:val="FF0000"/>
        </w:rPr>
        <w:t xml:space="preserve">BSC </w:t>
      </w:r>
      <w:r>
        <w:rPr>
          <w:b/>
          <w:bCs/>
        </w:rPr>
        <w:t>define o que deve ser medido por meio de indicadores estratégicos</w:t>
      </w:r>
      <w:r w:rsidR="00806EDE">
        <w:rPr>
          <w:b/>
          <w:bCs/>
        </w:rPr>
        <w:t xml:space="preserve">, enquanto o </w:t>
      </w:r>
      <w:r w:rsidR="00806EDE" w:rsidRPr="00140030">
        <w:rPr>
          <w:b/>
          <w:bCs/>
          <w:color w:val="FF0000"/>
        </w:rPr>
        <w:t>BI</w:t>
      </w:r>
      <w:r w:rsidR="00806EDE">
        <w:rPr>
          <w:b/>
          <w:bCs/>
        </w:rPr>
        <w:t xml:space="preserve"> viabiliza como medir, acompanhar e analisar </w:t>
      </w:r>
      <w:r w:rsidR="00140030">
        <w:rPr>
          <w:b/>
          <w:bCs/>
        </w:rPr>
        <w:t xml:space="preserve">esses indicadores. O </w:t>
      </w:r>
      <w:r w:rsidR="00140030" w:rsidRPr="00140030">
        <w:rPr>
          <w:b/>
          <w:bCs/>
          <w:color w:val="FF0000"/>
        </w:rPr>
        <w:t xml:space="preserve">BI </w:t>
      </w:r>
      <w:r w:rsidR="00140030">
        <w:rPr>
          <w:b/>
          <w:bCs/>
        </w:rPr>
        <w:t xml:space="preserve">transforma os dados em dashboards e relatórios que permitem monitorar </w:t>
      </w:r>
      <w:r w:rsidR="00724242">
        <w:rPr>
          <w:b/>
          <w:bCs/>
        </w:rPr>
        <w:t>o desempenho em tempo real, apoiar decisões e garantir o alinhamento entre a estratégia e a operação.</w:t>
      </w:r>
      <w:bookmarkStart w:id="0" w:name="_GoBack"/>
      <w:bookmarkEnd w:id="0"/>
    </w:p>
    <w:sectPr w:rsidR="008D0979" w:rsidRPr="00E96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734EA7"/>
    <w:multiLevelType w:val="hybridMultilevel"/>
    <w:tmpl w:val="B1C07F38"/>
    <w:lvl w:ilvl="0" w:tplc="80222B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C56057"/>
    <w:multiLevelType w:val="hybridMultilevel"/>
    <w:tmpl w:val="3D6CD8B4"/>
    <w:lvl w:ilvl="0" w:tplc="9BE2A1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F6"/>
    <w:rsid w:val="00010A82"/>
    <w:rsid w:val="00116B73"/>
    <w:rsid w:val="00140030"/>
    <w:rsid w:val="001673E1"/>
    <w:rsid w:val="001A0094"/>
    <w:rsid w:val="0023253B"/>
    <w:rsid w:val="002C48F3"/>
    <w:rsid w:val="003103A7"/>
    <w:rsid w:val="00353234"/>
    <w:rsid w:val="00387DC0"/>
    <w:rsid w:val="003B6ADE"/>
    <w:rsid w:val="003F1707"/>
    <w:rsid w:val="00471E4E"/>
    <w:rsid w:val="004C2620"/>
    <w:rsid w:val="0059667A"/>
    <w:rsid w:val="005B45F3"/>
    <w:rsid w:val="00627314"/>
    <w:rsid w:val="00724242"/>
    <w:rsid w:val="00767EB6"/>
    <w:rsid w:val="007D6235"/>
    <w:rsid w:val="007E4CF4"/>
    <w:rsid w:val="00806EDE"/>
    <w:rsid w:val="0085383D"/>
    <w:rsid w:val="0088572A"/>
    <w:rsid w:val="008D0979"/>
    <w:rsid w:val="008F6D5C"/>
    <w:rsid w:val="00944B77"/>
    <w:rsid w:val="00A8736A"/>
    <w:rsid w:val="00B1092B"/>
    <w:rsid w:val="00B909F6"/>
    <w:rsid w:val="00BA6FC5"/>
    <w:rsid w:val="00BA7128"/>
    <w:rsid w:val="00C37A36"/>
    <w:rsid w:val="00CB6A37"/>
    <w:rsid w:val="00CC0D5C"/>
    <w:rsid w:val="00D26B90"/>
    <w:rsid w:val="00D35E79"/>
    <w:rsid w:val="00D57E67"/>
    <w:rsid w:val="00DA16BA"/>
    <w:rsid w:val="00E575C9"/>
    <w:rsid w:val="00E96FB6"/>
    <w:rsid w:val="00EA1B08"/>
    <w:rsid w:val="00EA60CD"/>
    <w:rsid w:val="00EB40C4"/>
    <w:rsid w:val="00F54078"/>
    <w:rsid w:val="00FC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35857"/>
  <w15:chartTrackingRefBased/>
  <w15:docId w15:val="{850413B9-5B0A-4626-805A-B5DAE0F4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F1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488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47</cp:revision>
  <dcterms:created xsi:type="dcterms:W3CDTF">2025-08-14T10:40:00Z</dcterms:created>
  <dcterms:modified xsi:type="dcterms:W3CDTF">2025-08-20T15:17:00Z</dcterms:modified>
</cp:coreProperties>
</file>