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Nos registramos y descargamos HiveMQ:</w:t>
      </w:r>
    </w:p>
    <w:p w:rsidR="00000000" w:rsidDel="00000000" w:rsidP="00000000" w:rsidRDefault="00000000" w:rsidRPr="00000000" w14:paraId="00000001">
      <w:pPr>
        <w:contextualSpacing w:val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https://www.hivemq.com/downloads/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Instalamos JRE de Java:</w:t>
      </w:r>
    </w:p>
    <w:p w:rsidR="00000000" w:rsidDel="00000000" w:rsidP="00000000" w:rsidRDefault="00000000" w:rsidRPr="00000000" w14:paraId="00000004">
      <w:pPr>
        <w:contextualSpacing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https://www.java.com/inc/BrowserRedirect1.jsp?locale=es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Ejecutamos el archivo /bin/run.bat en el sistema Windows (si estuvieramos en Linux, ejecutariamos /bin/./run.sh):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584700"/>
            <wp:effectExtent b="0" l="0" r="0" t="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Vemos que inició el servidor HiveMQ: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394200"/>
            <wp:effectExtent b="0" l="0" r="0" t="0"/>
            <wp:docPr id="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Dicho server, al igual que APACHE posee una interfaz Web: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406900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Sin embargo, aún no se configuró ningún tipo de parametría para la seguridad: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429000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Configurar TLS:</w:t>
      </w:r>
    </w:p>
    <w:p w:rsidR="00000000" w:rsidDel="00000000" w:rsidP="00000000" w:rsidRDefault="00000000" w:rsidRPr="00000000" w14:paraId="00000015">
      <w:pPr>
        <w:contextualSpacing w:val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https://www.hivemq.com/docs/hivemq/latest/#tls-chapter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En la sección: “</w:t>
      </w:r>
      <w:r w:rsidDel="00000000" w:rsidR="00000000" w:rsidRPr="00000000">
        <w:rPr>
          <w:b w:val="1"/>
          <w:color w:val="191919"/>
          <w:sz w:val="24"/>
          <w:szCs w:val="24"/>
          <w:rtl w:val="0"/>
        </w:rPr>
        <w:t xml:space="preserve">Secure and Insecure Listeners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**Para crear el par público-privado, seguir el tutorial en la documentación de la API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SSL y TSL:</w:t>
      </w:r>
    </w:p>
    <w:p w:rsidR="00000000" w:rsidDel="00000000" w:rsidP="00000000" w:rsidRDefault="00000000" w:rsidRPr="00000000" w14:paraId="0000001C">
      <w:pPr>
        <w:contextualSpacing w:val="0"/>
        <w:rPr>
          <w:b w:val="1"/>
          <w:color w:val="ff0000"/>
        </w:rPr>
      </w:pP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https://www.globalsign.com/es/blog/ssl-vs-tls-difference/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5734050" cy="35306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Configuramos Interceptores para el servidor y apuntamos al keystore que creamos:</w:t>
      </w:r>
    </w:p>
    <w:p w:rsidR="00000000" w:rsidDel="00000000" w:rsidP="00000000" w:rsidRDefault="00000000" w:rsidRPr="00000000" w14:paraId="00000022">
      <w:pPr>
        <w:contextualSpacing w:val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5734050" cy="3289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Exportamos el Certificado desde la Keystore del server:</w:t>
      </w:r>
    </w:p>
    <w:p w:rsidR="00000000" w:rsidDel="00000000" w:rsidP="00000000" w:rsidRDefault="00000000" w:rsidRPr="00000000" w14:paraId="00000027">
      <w:pPr>
        <w:contextualSpacing w:val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https://docs.oracle.com/javase/tutorial/security/toolsign/step5.html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keytool -export -keystore examplestore -alias signFiles -file Example.cer</w:t>
      </w:r>
    </w:p>
    <w:p w:rsidR="00000000" w:rsidDel="00000000" w:rsidP="00000000" w:rsidRDefault="00000000" w:rsidRPr="00000000" w14:paraId="0000002A">
      <w:pPr>
        <w:contextualSpacing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4050" cy="2019300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Copiamos el certificado al servidor de la API cliente, ya que es un certificado self-signed. De otro modo, si fuese legitimado por una entidad certificadora reconocida no tendríamos que hacerlo.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  <w:t xml:space="preserve">En el cliente:</w:t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739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right="460" w:firstLine="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Apuntamos desde el código a ambos certificado (cliente y servidor):</w:t>
      </w:r>
    </w:p>
    <w:p w:rsidR="00000000" w:rsidDel="00000000" w:rsidP="00000000" w:rsidRDefault="00000000" w:rsidRPr="00000000" w14:paraId="00000033">
      <w:pPr>
        <w:ind w:left="0" w:right="460" w:firstLine="0"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right="460" w:firstLine="0"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</w:rPr>
        <w:drawing>
          <wp:inline distB="114300" distT="114300" distL="114300" distR="114300">
            <wp:extent cx="6435936" cy="2576513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5936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  <w:t xml:space="preserve">Para poder debuggear la conexión de nuestro Tomcat con el servidor HiveMQ agregamos el siguiente argumento al arranque del Tomcat:</w:t>
      </w:r>
    </w:p>
    <w:p w:rsidR="00000000" w:rsidDel="00000000" w:rsidP="00000000" w:rsidRDefault="00000000" w:rsidRPr="00000000" w14:paraId="00000038">
      <w:pPr>
        <w:contextualSpacing w:val="0"/>
        <w:rPr>
          <w:b w:val="1"/>
          <w:i w:val="1"/>
          <w:color w:val="242729"/>
          <w:sz w:val="23"/>
          <w:szCs w:val="23"/>
          <w:highlight w:val="white"/>
        </w:rPr>
      </w:pPr>
      <w:r w:rsidDel="00000000" w:rsidR="00000000" w:rsidRPr="00000000">
        <w:rPr>
          <w:color w:val="242729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b w:val="1"/>
          <w:i w:val="1"/>
          <w:color w:val="242729"/>
          <w:sz w:val="23"/>
          <w:szCs w:val="23"/>
          <w:highlight w:val="white"/>
          <w:rtl w:val="0"/>
        </w:rPr>
        <w:t xml:space="preserve">-Djavax.net.debug=SSL</w:t>
      </w:r>
    </w:p>
    <w:p w:rsidR="00000000" w:rsidDel="00000000" w:rsidP="00000000" w:rsidRDefault="00000000" w:rsidRPr="00000000" w14:paraId="00000039">
      <w:pPr>
        <w:contextualSpacing w:val="0"/>
        <w:rPr>
          <w:b w:val="1"/>
          <w:i w:val="1"/>
          <w:color w:val="2427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b w:val="1"/>
          <w:i w:val="1"/>
          <w:color w:val="242729"/>
          <w:sz w:val="23"/>
          <w:szCs w:val="23"/>
          <w:highlight w:val="white"/>
        </w:rPr>
      </w:pPr>
      <w:r w:rsidDel="00000000" w:rsidR="00000000" w:rsidRPr="00000000">
        <w:rPr>
          <w:b w:val="1"/>
          <w:i w:val="1"/>
          <w:color w:val="242729"/>
          <w:sz w:val="23"/>
          <w:szCs w:val="23"/>
          <w:highlight w:val="white"/>
        </w:rPr>
        <w:drawing>
          <wp:inline distB="114300" distT="114300" distL="114300" distR="114300">
            <wp:extent cx="5734050" cy="4457700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b w:val="1"/>
          <w:i w:val="1"/>
          <w:color w:val="2427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b w:val="1"/>
          <w:i w:val="1"/>
          <w:color w:val="2427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b w:val="1"/>
          <w:i w:val="1"/>
          <w:color w:val="242729"/>
          <w:sz w:val="23"/>
          <w:szCs w:val="23"/>
          <w:highlight w:val="white"/>
        </w:rPr>
      </w:pPr>
      <w:r w:rsidDel="00000000" w:rsidR="00000000" w:rsidRPr="00000000">
        <w:rPr>
          <w:b w:val="1"/>
          <w:i w:val="1"/>
          <w:color w:val="242729"/>
          <w:sz w:val="23"/>
          <w:szCs w:val="23"/>
          <w:highlight w:val="white"/>
          <w:rtl w:val="0"/>
        </w:rPr>
        <w:t xml:space="preserve">Comunicación TLS:</w:t>
      </w:r>
    </w:p>
    <w:p w:rsidR="00000000" w:rsidDel="00000000" w:rsidP="00000000" w:rsidRDefault="00000000" w:rsidRPr="00000000" w14:paraId="0000003E">
      <w:pPr>
        <w:contextualSpacing w:val="0"/>
        <w:rPr>
          <w:color w:val="2427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>
          <w:color w:val="242729"/>
          <w:highlight w:val="white"/>
        </w:rPr>
      </w:pPr>
      <w:r w:rsidDel="00000000" w:rsidR="00000000" w:rsidRPr="00000000">
        <w:rPr>
          <w:color w:val="242729"/>
          <w:highlight w:val="white"/>
          <w:rtl w:val="0"/>
        </w:rPr>
        <w:t xml:space="preserve">Inicialmente, agregamos en el código el certificado del servidor:</w:t>
      </w:r>
    </w:p>
    <w:p w:rsidR="00000000" w:rsidDel="00000000" w:rsidP="00000000" w:rsidRDefault="00000000" w:rsidRPr="00000000" w14:paraId="00000040">
      <w:pPr>
        <w:contextualSpacing w:val="0"/>
        <w:rPr>
          <w:color w:val="242729"/>
          <w:highlight w:val="white"/>
        </w:rPr>
      </w:pPr>
      <w:r w:rsidDel="00000000" w:rsidR="00000000" w:rsidRPr="00000000">
        <w:rPr>
          <w:color w:val="242729"/>
          <w:highlight w:val="white"/>
        </w:rPr>
        <w:drawing>
          <wp:inline distB="114300" distT="114300" distL="114300" distR="114300">
            <wp:extent cx="6794849" cy="1128713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4849" cy="1128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787400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jc w:val="center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Handshake: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t xml:space="preserve">Cliente saluda al servidor: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41119" cy="1147763"/>
            <wp:effectExtent b="0" l="0" r="0" t="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1119" cy="114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  <w:t xml:space="preserve">Servidor saluda al cliente enviando su certificado público:</w:t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567488" cy="1909153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1909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  <w:t xml:space="preserve">El cliente, encuentra un certificado validado en su almacén de certificados (lo especificamos al principio):</w:t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2393" cy="1604963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2393" cy="16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  <w:t xml:space="preserve">Se completa la fase de saludo, y comienza la sesión:</w:t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226025" cy="1747838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6025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  <w:t xml:space="preserve">Podemos observar con el Wireshark la comunicación TCP que se produce para los paquetes de control y cómo se encriptan con TLSv1.2 los paquetes de datos (flag push seteado):</w:t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958509" cy="1109663"/>
            <wp:effectExtent b="0" l="0" r="0" t="0"/>
            <wp:docPr id="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8509" cy="110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  <w:t xml:space="preserve">Paquete de control:</w:t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364024" cy="2357438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4024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 xml:space="preserve">Paquete de datos:</w:t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568369" cy="2062163"/>
            <wp:effectExtent b="0" l="0" r="0" t="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8369" cy="2062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  <w:t xml:space="preserve">Referencia conexión: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https://gist.github.com/sharonbn/4104301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22" Type="http://schemas.openxmlformats.org/officeDocument/2006/relationships/image" Target="media/image38.png"/><Relationship Id="rId21" Type="http://schemas.openxmlformats.org/officeDocument/2006/relationships/image" Target="media/image27.png"/><Relationship Id="rId24" Type="http://schemas.openxmlformats.org/officeDocument/2006/relationships/image" Target="media/image22.png"/><Relationship Id="rId23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33.png"/><Relationship Id="rId25" Type="http://schemas.openxmlformats.org/officeDocument/2006/relationships/image" Target="media/image37.png"/><Relationship Id="rId28" Type="http://schemas.openxmlformats.org/officeDocument/2006/relationships/image" Target="media/image23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hyperlink" Target="https://www.hivemq.com/downloads/" TargetMode="External"/><Relationship Id="rId29" Type="http://schemas.openxmlformats.org/officeDocument/2006/relationships/image" Target="media/image31.png"/><Relationship Id="rId7" Type="http://schemas.openxmlformats.org/officeDocument/2006/relationships/hyperlink" Target="https://www.java.com/inc/BrowserRedirect1.jsp?locale=es" TargetMode="External"/><Relationship Id="rId8" Type="http://schemas.openxmlformats.org/officeDocument/2006/relationships/image" Target="media/image29.png"/><Relationship Id="rId30" Type="http://schemas.openxmlformats.org/officeDocument/2006/relationships/hyperlink" Target="https://gist.github.com/sharonbn/4104301" TargetMode="External"/><Relationship Id="rId11" Type="http://schemas.openxmlformats.org/officeDocument/2006/relationships/image" Target="media/image36.png"/><Relationship Id="rId10" Type="http://schemas.openxmlformats.org/officeDocument/2006/relationships/image" Target="media/image35.png"/><Relationship Id="rId13" Type="http://schemas.openxmlformats.org/officeDocument/2006/relationships/hyperlink" Target="https://www.globalsign.com/es/blog/ssl-vs-tls-difference/" TargetMode="External"/><Relationship Id="rId12" Type="http://schemas.openxmlformats.org/officeDocument/2006/relationships/hyperlink" Target="https://www.hivemq.com/docs/hivemq/latest/#tls-chapter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20.png"/><Relationship Id="rId17" Type="http://schemas.openxmlformats.org/officeDocument/2006/relationships/image" Target="media/image32.png"/><Relationship Id="rId16" Type="http://schemas.openxmlformats.org/officeDocument/2006/relationships/hyperlink" Target="https://docs.oracle.com/javase/tutorial/security/toolsign/step5.html" TargetMode="External"/><Relationship Id="rId19" Type="http://schemas.openxmlformats.org/officeDocument/2006/relationships/image" Target="media/image21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