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4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Дано натуральне число n. Обчислити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За допомогою ітераційного циклу обчислити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сумми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Сумма чисел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Знаменник дробу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t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b/>
          <w:bCs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0,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n: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n; ++i)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 = (i * (2 * i + 1) * (2 * i + 1));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+= 1 / 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"Сумма дорiвнює: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 xml:space="preserve">значення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...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145415</wp:posOffset>
            </wp:positionV>
            <wp:extent cx="5731510" cy="332994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5731510" cy="319278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особливості роботи арифметичних циклів та набу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практичних навичок їх використання під час складання програмних специфікацій.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LibreOffice/7.2.0.4$Windows_X86_64 LibreOffice_project/9a9c6381e3f7a62afc1329bd359cc48accb6435b</Application>
  <AppVersion>15.0000</AppVersion>
  <Pages>5</Pages>
  <Words>238</Words>
  <Characters>1357</Characters>
  <CharactersWithSpaces>1596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2021-10-18T22:36:16Z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