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Scenario:</w:t>
      </w:r>
      <w:r w:rsidDel="00000000" w:rsidR="00000000" w:rsidRPr="00000000">
        <w:rPr>
          <w:rtl w:val="0"/>
        </w:rPr>
        <w:t xml:space="preserve"> An ISSO at a federal agency has just run ScubaGear on the agency's Microsoft 365 tenant. The ATO package is due to the auditor, and leadership wants to know the top risks and what to fix first.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What you feed it</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ScubaResults_&lt;uuid&gt;.json</w:t>
      </w:r>
      <w:r w:rsidDel="00000000" w:rsidR="00000000" w:rsidRPr="00000000">
        <w:rPr>
          <w:rtl w:val="0"/>
        </w:rPr>
        <w:t xml:space="preserve">, the same file already submitted to CyberScope under BOD 25-01.</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Optionally, the ScubaGear YAML config, which holds accepted-risk exclusions and annotations.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Optionally, a previous scan's results, to see what changed.</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Then plain-English questions, such as: </w:t>
      </w:r>
      <w:r w:rsidDel="00000000" w:rsidR="00000000" w:rsidRPr="00000000">
        <w:rPr>
          <w:i w:val="1"/>
          <w:iCs w:val="1"/>
          <w:rtl w:val="0"/>
        </w:rPr>
        <w:t xml:space="preserve">"Which failures expose us to password spraying, and which 800-53 controls does that affect?"</w:t>
      </w:r>
    </w:p>
    <w:p w:rsidR="00000000" w:rsidDel="00000000" w:rsidP="00000000" w:rsidRDefault="00000000" w:rsidRPr="00000000" w14:paraId="00000008">
      <w:pPr>
        <w:spacing w:after="240" w:before="240" w:lineRule="auto"/>
        <w:rPr/>
      </w:pPr>
      <w:r w:rsidDel="00000000" w:rsidR="00000000" w:rsidRPr="00000000">
        <w:rPr>
          <w:rtl w:val="0"/>
        </w:rPr>
        <w:t xml:space="preserve">Baselines, Rego, 800-53 and ATT&amp;CK mappings are preloaded from pinned CISA and NIST sources, so you don't supply them.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What it does internally that isn't done elsewhere</w:t>
      </w:r>
      <w:r w:rsidDel="00000000" w:rsidR="00000000" w:rsidRPr="00000000">
        <w:rPr>
          <w:rtl w:val="0"/>
        </w:rPr>
        <w:t xml:space="preserve"> (ScubaGear stops at HTML/JSON/CSV reports, and as far as I found, no public tool does the rest)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Deterministic compilation to OSCAL.</w:t>
      </w:r>
      <w:r w:rsidDel="00000000" w:rsidR="00000000" w:rsidRPr="00000000">
        <w:rPr>
          <w:rtl w:val="0"/>
        </w:rPr>
        <w:t xml:space="preserve"> Each policy becomes a control, each result becomes an observation plus finding, each failure becomes a risk and a POA&amp;M item. IDs are stable UUIDv5s, so the same scan always yields identical files. Manual and N/A results stay "unverified" instead of being forced into pass or fail.</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Validation against NIST's own schemas</w:t>
      </w:r>
      <w:r w:rsidDel="00000000" w:rsidR="00000000" w:rsidRPr="00000000">
        <w:rPr>
          <w:rtl w:val="0"/>
        </w:rPr>
        <w:t xml:space="preserve"> and oscal-cli. Output is probably OSCAL, not OSCAL-shaped JSON.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Posture graph.</w:t>
      </w:r>
      <w:r w:rsidDel="00000000" w:rsidR="00000000" w:rsidRPr="00000000">
        <w:rPr>
          <w:rtl w:val="0"/>
        </w:rPr>
        <w:t xml:space="preserve"> Connects each finding to its 800-53 controls and ATT&amp;CK techniques, so it can answer questions like "what does this failure expose?"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Verified answers.</w:t>
      </w:r>
      <w:r w:rsidDel="00000000" w:rsidR="00000000" w:rsidRPr="00000000">
        <w:rPr>
          <w:rtl w:val="0"/>
        </w:rPr>
        <w:t xml:space="preserve"> The LLM can only query through typed functions. Every sentence must cite a UUID, and a verifier re-checks each cited status and recomputes each number before you see the answer. Unsupported claims are removed.</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Proven fixes.</w:t>
      </w:r>
      <w:r w:rsidDel="00000000" w:rsidR="00000000" w:rsidRPr="00000000">
        <w:rPr>
          <w:rtl w:val="0"/>
        </w:rPr>
        <w:t xml:space="preserve"> When you propose a remediation, it patches the recorded config and re-runs CISA's actual Rego in OPA. You see which controls would flip to passing before anyone touches the tenant.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What it outputs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OSCAL artifacts (Catalog, Profile, Assessment Plan, Assessment Results, POA&amp;M), with a validation report. These are ready for GRC tools or an auditor.</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Answers where every claim is clickable back to the exact JSON node, with a "6/6 claims verified" badge.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 ranked remediation list with an explainable risk score, plus an OPA-confirmed "this fix passes these 3 controls" result.</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A drift report between scans, and a leadership or auditor summary as Markdown or PDF.</w:t>
      </w:r>
    </w:p>
    <w:p w:rsidR="00000000" w:rsidDel="00000000" w:rsidP="00000000" w:rsidRDefault="00000000" w:rsidRPr="00000000" w14:paraId="00000014">
      <w:pPr>
        <w:spacing w:after="240" w:before="240" w:lineRule="auto"/>
        <w:rPr/>
      </w:pPr>
      <w:r w:rsidDel="00000000" w:rsidR="00000000" w:rsidRPr="00000000">
        <w:rPr>
          <w:rtl w:val="0"/>
        </w:rPr>
        <w:t xml:space="preserve">In short, you put in a scan file and questions, and you get back standard compliance evidence, answers you can trust, and fixes that are proven to pass.</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