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Closed-reference</w:t>
      </w:r>
      <w:r>
        <w:t xml:space="preserve"> </w:t>
      </w:r>
      <m:oMath>
        <m:r>
          <m:t>k</m:t>
        </m:r>
      </m:oMath>
      <w:r>
        <w:t xml:space="preserve">-mer</w:t>
      </w:r>
      <w:r>
        <w:t xml:space="preserve"> </w:t>
      </w:r>
      <w:r>
        <w:t xml:space="preserve">cross-mapping</w:t>
      </w:r>
      <w:r>
        <w:t xml:space="preserve"> </w:t>
      </w:r>
      <w:r>
        <w:t xml:space="preserve">fabricates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Snodgrassella</w:t>
      </w:r>
      <w:r>
        <w:rPr>
          <w:iCs/>
          <w:i/>
        </w:rPr>
        <w:t xml:space="preserve"> </w:t>
      </w:r>
      <w:r>
        <w:rPr>
          <w:iCs/>
          <w:i/>
        </w:rPr>
        <w:t xml:space="preserve">alvi</w:t>
      </w:r>
      <w:r>
        <w:t xml:space="preserve"> </w:t>
      </w:r>
      <w:r>
        <w:t xml:space="preserve">rosacea</w:t>
      </w:r>
      <w:r>
        <w:t xml:space="preserve"> </w:t>
      </w:r>
      <w:r>
        <w:t xml:space="preserve">signal</w:t>
      </w:r>
      <w:r>
        <w:t xml:space="preserve"> </w:t>
      </w:r>
      <w:r>
        <w:t xml:space="preserve">that</w:t>
      </w:r>
      <w:r>
        <w:t xml:space="preserve"> </w:t>
      </w:r>
      <w:r>
        <w:t xml:space="preserve">dissolves</w:t>
      </w:r>
      <w:r>
        <w:t xml:space="preserve"> </w:t>
      </w:r>
      <w:r>
        <w:t xml:space="preserve">under</w:t>
      </w:r>
      <w:r>
        <w:t xml:space="preserve"> </w:t>
      </w:r>
      <w:r>
        <w:t xml:space="preserve">amplicon-sequence-variant</w:t>
      </w:r>
      <w:r>
        <w:t xml:space="preserve"> </w:t>
      </w:r>
      <w:r>
        <w:t xml:space="preserve">resolution</w:t>
      </w:r>
    </w:p>
    <w:p>
      <w:pPr>
        <w:pStyle w:val="Author"/>
      </w:pPr>
      <w:r>
        <w:t xml:space="preserve">Jonathan</w:t>
      </w:r>
      <w:r>
        <w:t xml:space="preserve"> </w:t>
      </w:r>
      <w:r>
        <w:t xml:space="preserve">Reich</w:t>
      </w:r>
      <w:r>
        <w:br/>
      </w:r>
      <w:r>
        <w:t xml:space="preserve">Independent</w:t>
      </w:r>
      <w:r>
        <w:t xml:space="preserve"> </w:t>
      </w:r>
      <w:r>
        <w:t xml:space="preserve">Researcher,</w:t>
      </w:r>
      <w:r>
        <w:t xml:space="preserve"> </w:t>
      </w:r>
      <w:r>
        <w:t xml:space="preserve">Melbourne,</w:t>
      </w:r>
      <w:r>
        <w:t xml:space="preserve"> </w:t>
      </w:r>
      <w:r>
        <w:t xml:space="preserve">Victoria,</w:t>
      </w:r>
      <w:r>
        <w:t xml:space="preserve"> </w:t>
      </w:r>
      <w:r>
        <w:t xml:space="preserve">Australia</w:t>
      </w:r>
      <w:r>
        <w:br/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rPr>
          <w:rStyle w:val="VerbatimChar"/>
        </w:rPr>
        <w:t xml:space="preserve">jonathanreich100@gmail.com</w:t>
      </w:r>
      <w:r>
        <w:br/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0009-0000-0108-0717</w:t>
        </w:r>
      </w:hyperlink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iCs/>
          <w:i/>
        </w:rPr>
        <w:t xml:space="preserve">Demodex</w:t>
      </w:r>
      <w:r>
        <w:t xml:space="preserve"> </w:t>
      </w:r>
      <w:r>
        <w:t xml:space="preserve">mites</w:t>
      </w:r>
      <w:r>
        <w:t xml:space="preserve"> </w:t>
      </w:r>
      <w:r>
        <w:t xml:space="preserve">are</w:t>
      </w:r>
      <w:r>
        <w:t xml:space="preserve"> </w:t>
      </w:r>
      <w:r>
        <w:t xml:space="preserve">strongly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rosacea,</w:t>
      </w:r>
      <w:r>
        <w:t xml:space="preserve"> </w:t>
      </w:r>
      <w:r>
        <w:t xml:space="preserve">motivating</w:t>
      </w:r>
      <w:r>
        <w:t xml:space="preserve"> </w:t>
      </w:r>
      <w:r>
        <w:t xml:space="preserve">a</w:t>
      </w:r>
      <w:r>
        <w:t xml:space="preserve"> </w:t>
      </w:r>
      <w:r>
        <w:t xml:space="preserve">shortcut:</w:t>
      </w:r>
      <w:r>
        <w:t xml:space="preserve"> </w:t>
      </w:r>
      <w:r>
        <w:t xml:space="preserve">could</w:t>
      </w:r>
      <w:r>
        <w:t xml:space="preserve"> </w:t>
      </w:r>
      <w:r>
        <w:t xml:space="preserve">the</w:t>
      </w:r>
      <w:r>
        <w:t xml:space="preserve"> </w:t>
      </w:r>
      <w:r>
        <w:t xml:space="preserve">relative</w:t>
      </w:r>
      <w:r>
        <w:t xml:space="preserve"> </w:t>
      </w:r>
      <w:r>
        <w:t xml:space="preserve">abundance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</w:t>
      </w:r>
      <w:r>
        <w:t xml:space="preserve"> </w:t>
      </w:r>
      <w:r>
        <w:t xml:space="preserve">bacteria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routine</w:t>
      </w:r>
      <w:r>
        <w:t xml:space="preserve"> </w:t>
      </w:r>
      <w:r>
        <w:t xml:space="preserve">16S</w:t>
      </w:r>
      <w:r>
        <w:t xml:space="preserve"> </w:t>
      </w:r>
      <w:r>
        <w:t xml:space="preserve">amplicon</w:t>
      </w:r>
      <w:r>
        <w:t xml:space="preserve"> </w:t>
      </w:r>
      <w:r>
        <w:t xml:space="preserve">sample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non-invasive</w:t>
      </w:r>
      <w:r>
        <w:t xml:space="preserve"> </w:t>
      </w:r>
      <w:r>
        <w:t xml:space="preserve">proxy</w:t>
      </w:r>
      <w:r>
        <w:t xml:space="preserve"> </w:t>
      </w:r>
      <w:r>
        <w:t xml:space="preserve">for</w:t>
      </w:r>
      <w:r>
        <w:t xml:space="preserve"> </w:t>
      </w:r>
      <w:r>
        <w:t xml:space="preserve">mite</w:t>
      </w:r>
      <w:r>
        <w:t xml:space="preserve"> </w:t>
      </w:r>
      <w:r>
        <w:t xml:space="preserve">burden?</w:t>
      </w:r>
      <w:r>
        <w:t xml:space="preserve"> </w:t>
      </w:r>
      <w:r>
        <w:t xml:space="preserve">We</w:t>
      </w:r>
      <w:r>
        <w:t xml:space="preserve"> </w:t>
      </w:r>
      <w:r>
        <w:t xml:space="preserve">test</w:t>
      </w:r>
      <w:r>
        <w:t xml:space="preserve"> </w:t>
      </w:r>
      <w:r>
        <w:t xml:space="preserve">this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data</w:t>
      </w:r>
      <w:r>
        <w:t xml:space="preserve"> </w:t>
      </w:r>
      <w:r>
        <w:t xml:space="preserve">and,</w:t>
      </w:r>
      <w:r>
        <w:t xml:space="preserve"> </w:t>
      </w:r>
      <w:r>
        <w:t xml:space="preserve">critically,</w:t>
      </w:r>
      <w:r>
        <w:t xml:space="preserve"> </w:t>
      </w:r>
      <w:r>
        <w:t xml:space="preserve">stress-test</w:t>
      </w:r>
      <w:r>
        <w:t xml:space="preserve"> </w:t>
      </w:r>
      <w:r>
        <w:t xml:space="preserve">our</w:t>
      </w:r>
      <w:r>
        <w:t xml:space="preserve"> </w:t>
      </w:r>
      <w:r>
        <w:t xml:space="preserve">own</w:t>
      </w:r>
      <w:r>
        <w:t xml:space="preserve"> </w:t>
      </w:r>
      <w:r>
        <w:t xml:space="preserve">positive</w:t>
      </w:r>
      <w:r>
        <w:t xml:space="preserve"> </w:t>
      </w:r>
      <w:r>
        <w:t xml:space="preserve">result.</w:t>
      </w:r>
      <w:r>
        <w:t xml:space="preserve"> </w:t>
      </w:r>
      <w:r>
        <w:t xml:space="preserve">We</w:t>
      </w:r>
      <w:r>
        <w:t xml:space="preserve"> </w:t>
      </w:r>
      <w:r>
        <w:t xml:space="preserve">audited</w:t>
      </w:r>
      <w:r>
        <w:t xml:space="preserve"> </w:t>
      </w:r>
      <w:r>
        <w:t xml:space="preserve">the</w:t>
      </w:r>
      <w:r>
        <w:t xml:space="preserve"> </w:t>
      </w:r>
      <w:r>
        <w:t xml:space="preserve">Sequence</w:t>
      </w:r>
      <w:r>
        <w:t xml:space="preserve"> </w:t>
      </w:r>
      <w:r>
        <w:t xml:space="preserve">Read</w:t>
      </w:r>
      <w:r>
        <w:t xml:space="preserve"> </w:t>
      </w:r>
      <w:r>
        <w:t xml:space="preserve">Archive</w:t>
      </w:r>
      <w:r>
        <w:t xml:space="preserve"> </w:t>
      </w:r>
      <w:r>
        <w:t xml:space="preserve">(656</w:t>
      </w:r>
      <w:r>
        <w:t xml:space="preserve"> </w:t>
      </w:r>
      <w:r>
        <w:t xml:space="preserve">runs,</w:t>
      </w:r>
      <w:r>
        <w:t xml:space="preserve"> </w:t>
      </w:r>
      <w:r>
        <w:t xml:space="preserve">25</w:t>
      </w:r>
      <w:r>
        <w:t xml:space="preserve"> </w:t>
      </w:r>
      <w:r>
        <w:t xml:space="preserve">BioProjects;</w:t>
      </w:r>
      <w:r>
        <w:t xml:space="preserve"> </w:t>
      </w:r>
      <w:r>
        <w:t xml:space="preserve">17</w:t>
      </w:r>
      <w:r>
        <w:t xml:space="preserve"> </w:t>
      </w:r>
      <w:r>
        <w:t xml:space="preserve">on-topic),</w:t>
      </w:r>
      <w:r>
        <w:t xml:space="preserve"> </w:t>
      </w:r>
      <w:r>
        <w:t xml:space="preserve">assembled</w:t>
      </w:r>
      <w:r>
        <w:t xml:space="preserve"> </w:t>
      </w:r>
      <w:r>
        <w:t xml:space="preserve">a</w:t>
      </w:r>
      <w:r>
        <w:t xml:space="preserve"> </w:t>
      </w:r>
      <w:r>
        <w:t xml:space="preserve">panel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</w:t>
      </w:r>
      <w:r>
        <w:t xml:space="preserve"> </w:t>
      </w:r>
      <w:r>
        <w:t xml:space="preserve">taxa</w:t>
      </w:r>
      <w:r>
        <w:t xml:space="preserve"> </w:t>
      </w:r>
      <w:r>
        <w:t xml:space="preserve">(</w:t>
      </w:r>
      <w:r>
        <w:rPr>
          <w:iCs/>
          <w:i/>
        </w:rPr>
        <w:t xml:space="preserve">Snodgrassella</w:t>
      </w:r>
      <w:r>
        <w:rPr>
          <w:iCs/>
          <w:i/>
        </w:rPr>
        <w:t xml:space="preserve"> </w:t>
      </w:r>
      <w:r>
        <w:rPr>
          <w:iCs/>
          <w:i/>
        </w:rPr>
        <w:t xml:space="preserve">alvi</w:t>
      </w:r>
      <w:r>
        <w:t xml:space="preserve">,</w:t>
      </w:r>
      <w:r>
        <w:t xml:space="preserve"> </w:t>
      </w:r>
      <w:r>
        <w:rPr>
          <w:iCs/>
          <w:i/>
        </w:rPr>
        <w:t xml:space="preserve">Bacillus</w:t>
      </w:r>
      <w:r>
        <w:rPr>
          <w:iCs/>
          <w:i/>
        </w:rPr>
        <w:t xml:space="preserve"> </w:t>
      </w:r>
      <w:r>
        <w:rPr>
          <w:iCs/>
          <w:i/>
        </w:rPr>
        <w:t xml:space="preserve">oleronius</w:t>
      </w:r>
      <w:r>
        <w:t xml:space="preserve">,</w:t>
      </w:r>
      <w:r>
        <w:t xml:space="preserve"> </w:t>
      </w:r>
      <w:r>
        <w:rPr>
          <w:iCs/>
          <w:i/>
        </w:rPr>
        <w:t xml:space="preserve">Cutibacterium</w:t>
      </w:r>
      <w:r>
        <w:rPr>
          <w:iCs/>
          <w:i/>
        </w:rPr>
        <w:t xml:space="preserve"> </w:t>
      </w:r>
      <w:r>
        <w:rPr>
          <w:iCs/>
          <w:i/>
        </w:rPr>
        <w:t xml:space="preserve">kroppenstedtii</w:t>
      </w:r>
      <w:r>
        <w:t xml:space="preserve">,</w:t>
      </w:r>
      <w:r>
        <w:t xml:space="preserve"> </w:t>
      </w:r>
      <w:r>
        <w:rPr>
          <w:iCs/>
          <w:i/>
        </w:rPr>
        <w:t xml:space="preserve">Bartonella</w:t>
      </w:r>
      <w:r>
        <w:rPr>
          <w:iCs/>
          <w:i/>
        </w:rPr>
        <w:t xml:space="preserve"> </w:t>
      </w:r>
      <w:r>
        <w:rPr>
          <w:iCs/>
          <w:i/>
        </w:rPr>
        <w:t xml:space="preserve">quintana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background-subtracted,</w:t>
      </w:r>
      <w:r>
        <w:t xml:space="preserve"> </w:t>
      </w:r>
      <w:r>
        <w:t xml:space="preserve">closed-reference</w:t>
      </w:r>
      <w:r>
        <w:t xml:space="preserve"> </w:t>
      </w:r>
      <m:oMath>
        <m:r>
          <m:t>k</m:t>
        </m:r>
      </m:oMath>
      <w:r>
        <w:t xml:space="preserve">-mer</w:t>
      </w:r>
      <w:r>
        <w:t xml:space="preserve"> </w:t>
      </w:r>
      <w:r>
        <w:t xml:space="preserve">index.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paired</w:t>
      </w:r>
      <w:r>
        <w:t xml:space="preserve"> </w:t>
      </w:r>
      <w:r>
        <w:t xml:space="preserve">ivermectin</w:t>
      </w:r>
      <w:r>
        <w:t xml:space="preserve"> </w:t>
      </w:r>
      <w:r>
        <w:t xml:space="preserve">arm</w:t>
      </w:r>
      <w:r>
        <w:t xml:space="preserve"> </w:t>
      </w:r>
      <w:r>
        <w:t xml:space="preserve">(6</w:t>
      </w:r>
      <w:r>
        <w:t xml:space="preserve"> </w:t>
      </w:r>
      <w:r>
        <w:t xml:space="preserve">subjects)</w:t>
      </w:r>
      <w:r>
        <w:t xml:space="preserve"> </w:t>
      </w:r>
      <w:r>
        <w:t xml:space="preserve">the</w:t>
      </w:r>
      <w:r>
        <w:t xml:space="preserve"> </w:t>
      </w:r>
      <w:r>
        <w:t xml:space="preserve">index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move</w:t>
      </w:r>
      <w:r>
        <w:t xml:space="preserve"> </w:t>
      </w:r>
      <w:r>
        <w:t xml:space="preserve">(all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0.25</m:t>
        </m:r>
      </m:oMath>
      <w:r>
        <w:t xml:space="preserve">).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ocular</w:t>
      </w:r>
      <w:r>
        <w:t xml:space="preserve"> </w:t>
      </w:r>
      <w:r>
        <w:rPr>
          <w:iCs/>
          <w:i/>
        </w:rPr>
        <w:t xml:space="preserve">Demodex</w:t>
      </w:r>
      <w:r>
        <w:t xml:space="preserve">-versus-control</w:t>
      </w:r>
      <w:r>
        <w:t xml:space="preserve"> </w:t>
      </w:r>
      <w:r>
        <w:t xml:space="preserve">arm</w:t>
      </w:r>
      <w:r>
        <w:t xml:space="preserve"> </w:t>
      </w:r>
      <w:r>
        <w:t xml:space="preserve">(14</w:t>
      </w:r>
      <w:r>
        <w:t xml:space="preserve"> </w:t>
      </w:r>
      <w:r>
        <w:t xml:space="preserve">versus</w:t>
      </w:r>
      <w:r>
        <w:t xml:space="preserve"> </w:t>
      </w:r>
      <w:r>
        <w:t xml:space="preserve">17)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body-site-matched</w:t>
      </w:r>
      <w:r>
        <w:t xml:space="preserve"> </w:t>
      </w:r>
      <w:r>
        <w:t xml:space="preserve">negative</w:t>
      </w:r>
      <w:r>
        <w:t xml:space="preserve"> </w:t>
      </w:r>
      <w:r>
        <w:t xml:space="preserve">control,</w:t>
      </w:r>
      <w:r>
        <w:t xml:space="preserve"> </w:t>
      </w:r>
      <w:r>
        <w:t xml:space="preserve">the</w:t>
      </w:r>
      <w:r>
        <w:t xml:space="preserve"> </w:t>
      </w:r>
      <w:r>
        <w:t xml:space="preserve">composite</w:t>
      </w:r>
      <w:r>
        <w:t xml:space="preserve"> </w:t>
      </w:r>
      <w:r>
        <w:t xml:space="preserve">separated</w:t>
      </w:r>
      <w:r>
        <w:t xml:space="preserve"> </w:t>
      </w:r>
      <w:r>
        <w:t xml:space="preserve">the</w:t>
      </w:r>
      <w:r>
        <w:t xml:space="preserve"> </w:t>
      </w:r>
      <w:r>
        <w:t xml:space="preserve">groups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predicted</w:t>
      </w:r>
      <w:r>
        <w:t xml:space="preserve"> </w:t>
      </w:r>
      <w:r>
        <w:t xml:space="preserve">direction</w:t>
      </w:r>
      <w:r>
        <w:t xml:space="preserve"> </w:t>
      </w:r>
      <w:r>
        <w:t xml:space="preserve">(ROC-AUC</w:t>
      </w:r>
      <w:r>
        <w:t xml:space="preserve"> </w:t>
      </w:r>
      <m:oMath>
        <m:r>
          <m:t>0.66</m:t>
        </m:r>
      </m:oMath>
      <w:r>
        <w:t xml:space="preserve">),</w:t>
      </w:r>
      <w:r>
        <w:t xml:space="preserve"> </w:t>
      </w:r>
      <w:r>
        <w:t xml:space="preserve">apparently</w:t>
      </w:r>
      <w:r>
        <w:t xml:space="preserve"> </w:t>
      </w:r>
      <w:r>
        <w:t xml:space="preserve">carried</w:t>
      </w:r>
      <w:r>
        <w:t xml:space="preserve"> </w:t>
      </w:r>
      <w:r>
        <w:t xml:space="preserve">by</w:t>
      </w:r>
      <w:r>
        <w:t xml:space="preserve"> </w:t>
      </w:r>
      <w:r>
        <w:rPr>
          <w:iCs/>
          <w:i/>
        </w:rPr>
        <w:t xml:space="preserve">Snodgrassella</w:t>
      </w:r>
      <w:r>
        <w:rPr>
          <w:iCs/>
          <w:i/>
        </w:rPr>
        <w:t xml:space="preserve"> </w:t>
      </w:r>
      <w:r>
        <w:rPr>
          <w:iCs/>
          <w:i/>
        </w:rPr>
        <w:t xml:space="preserve">alvi</w:t>
      </w:r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resolved</w:t>
      </w:r>
      <w:r>
        <w:t xml:space="preserve"> </w:t>
      </w:r>
      <w:r>
        <w:t xml:space="preserve">that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exact</w:t>
      </w:r>
      <w:r>
        <w:t xml:space="preserve"> </w:t>
      </w:r>
      <w:r>
        <w:t xml:space="preserve">sequences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DADA2</w:t>
      </w:r>
      <w:r>
        <w:t xml:space="preserve"> </w:t>
      </w:r>
      <w:r>
        <w:t xml:space="preserve">pipeline</w:t>
      </w:r>
      <w:r>
        <w:t xml:space="preserve"> </w:t>
      </w:r>
      <w:r>
        <w:t xml:space="preserve">and</w:t>
      </w:r>
      <w:r>
        <w:t xml:space="preserve"> </w:t>
      </w:r>
      <w:r>
        <w:t xml:space="preserve">SILVA</w:t>
      </w:r>
      <w:r>
        <w:t xml:space="preserve"> </w:t>
      </w:r>
      <w:r>
        <w:t xml:space="preserve">v138.1</w:t>
      </w:r>
      <w:r>
        <w:t xml:space="preserve"> </w:t>
      </w:r>
      <w:r>
        <w:t xml:space="preserve">taxonomy.</w:t>
      </w:r>
      <w:r>
        <w:t xml:space="preserve"> </w:t>
      </w:r>
      <w:r>
        <w:t xml:space="preserve">It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survive:</w:t>
      </w:r>
      <w:r>
        <w:t xml:space="preserve"> </w:t>
      </w:r>
      <w:r>
        <w:rPr>
          <w:iCs/>
          <w:i/>
        </w:rPr>
        <w:t xml:space="preserve">none</w:t>
      </w:r>
      <w:r>
        <w:t xml:space="preserve"> </w:t>
      </w:r>
      <w:r>
        <w:t xml:space="preserve">of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551</m:t>
        </m:r>
      </m:oMath>
      <w:r>
        <w:t xml:space="preserve"> </w:t>
      </w:r>
      <w:r>
        <w:t xml:space="preserve">amplicon</w:t>
      </w:r>
      <w:r>
        <w:t xml:space="preserve"> </w:t>
      </w:r>
      <w:r>
        <w:t xml:space="preserve">sequence</w:t>
      </w:r>
      <w:r>
        <w:t xml:space="preserve"> </w:t>
      </w:r>
      <w:r>
        <w:t xml:space="preserve">variants</w:t>
      </w:r>
      <w:r>
        <w:t xml:space="preserve"> </w:t>
      </w:r>
      <w:r>
        <w:t xml:space="preserve">(ASVs)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Snodgrassella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our</w:t>
      </w:r>
      <w:r>
        <w:t xml:space="preserve"> </w:t>
      </w:r>
      <w:r>
        <w:t xml:space="preserve">own</w:t>
      </w:r>
      <w:r>
        <w:t xml:space="preserve"> </w:t>
      </w:r>
      <w:r>
        <w:rPr>
          <w:iCs/>
          <w:i/>
        </w:rPr>
        <w:t xml:space="preserve">Snodgrassella</w:t>
      </w:r>
      <w:r>
        <w:rPr>
          <w:iCs/>
          <w:i/>
        </w:rPr>
        <w:t xml:space="preserve"> </w:t>
      </w:r>
      <w:r>
        <w:rPr>
          <w:iCs/>
          <w:i/>
        </w:rPr>
        <w:t xml:space="preserve">alvi</w:t>
      </w:r>
      <w:r>
        <w:t xml:space="preserve"> </w:t>
      </w:r>
      <w:r>
        <w:t xml:space="preserve">diagnostic</w:t>
      </w:r>
      <w:r>
        <w:t xml:space="preserve"> </w:t>
      </w:r>
      <m:oMath>
        <m:r>
          <m:t>k</m:t>
        </m:r>
      </m:oMath>
      <w:r>
        <w:t xml:space="preserve">-mers</w:t>
      </w:r>
      <w:r>
        <w:t xml:space="preserve"> </w:t>
      </w:r>
      <w:r>
        <w:t xml:space="preserve">map</w:t>
      </w:r>
      <w:r>
        <w:t xml:space="preserve"> </w:t>
      </w:r>
      <w:r>
        <w:t xml:space="preserve">only</w:t>
      </w:r>
      <w:r>
        <w:t xml:space="preserve"> </w:t>
      </w:r>
      <w:r>
        <w:t xml:space="preserve">onto</w:t>
      </w:r>
      <w:r>
        <w:t xml:space="preserve"> </w:t>
      </w:r>
      <w:r>
        <w:t xml:space="preserve">commensal</w:t>
      </w:r>
      <w:r>
        <w:t xml:space="preserve"> </w:t>
      </w:r>
      <w:r>
        <w:t xml:space="preserve">Neisseriaceae</w:t>
      </w:r>
      <w:r>
        <w:t xml:space="preserve"> </w:t>
      </w:r>
      <w:r>
        <w:t xml:space="preserve">(</w:t>
      </w:r>
      <m:oMath>
        <m:r>
          <m:t>92</m:t>
        </m:r>
      </m:oMath>
      <w:r>
        <w:t xml:space="preserve">–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identity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Snodgrassella</w:t>
      </w:r>
      <w:r>
        <w:rPr>
          <w:iCs/>
          <w:i/>
        </w:rPr>
        <w:t xml:space="preserve"> </w:t>
      </w:r>
      <w:r>
        <w:rPr>
          <w:iCs/>
          <w:i/>
        </w:rPr>
        <w:t xml:space="preserve">alvi</w:t>
      </w:r>
      <w:r>
        <w:t xml:space="preserve"> </w:t>
      </w:r>
      <w:r>
        <w:t xml:space="preserve">reference)—a</w:t>
      </w:r>
      <w:r>
        <w:t xml:space="preserve"> </w:t>
      </w:r>
      <w:r>
        <w:t xml:space="preserve">conserved-region</w:t>
      </w:r>
      <w:r>
        <w:t xml:space="preserve"> </w:t>
      </w:r>
      <w:r>
        <w:t xml:space="preserve">cross-mapping</w:t>
      </w:r>
      <w:r>
        <w:t xml:space="preserve"> </w:t>
      </w:r>
      <w:r>
        <w:t xml:space="preserve">artefact.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exact-sequence</w:t>
      </w:r>
      <w:r>
        <w:t xml:space="preserve"> </w:t>
      </w:r>
      <w:r>
        <w:t xml:space="preserve">association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ASV</w:t>
      </w:r>
      <w:r>
        <w:t xml:space="preserve"> </w:t>
      </w:r>
      <w:r>
        <w:t xml:space="preserve">enriched</w:t>
      </w:r>
      <w:r>
        <w:t xml:space="preserve"> </w:t>
      </w:r>
      <w:r>
        <w:t xml:space="preserve">on</w:t>
      </w:r>
      <w:r>
        <w:t xml:space="preserve"> </w:t>
      </w:r>
      <w:r>
        <w:t xml:space="preserve">infected</w:t>
      </w:r>
      <w:r>
        <w:t xml:space="preserve"> </w:t>
      </w:r>
      <w:r>
        <w:t xml:space="preserve">surfaces</w:t>
      </w:r>
      <w:r>
        <w:t xml:space="preserve"> </w:t>
      </w:r>
      <w:r>
        <w:t xml:space="preserve">(AUC</w:t>
      </w:r>
      <w:r>
        <w:t xml:space="preserve"> </w:t>
      </w:r>
      <m:oMath>
        <m:r>
          <m:t>0.70</m:t>
        </m:r>
      </m:oMath>
      <w:r>
        <w:t xml:space="preserve">;</w:t>
      </w:r>
      <w:r>
        <w:t xml:space="preserve"> </w:t>
      </w:r>
      <w:r>
        <w:t xml:space="preserve">nominal</w:t>
      </w:r>
      <w:r>
        <w:t xml:space="preserve"> </w:t>
      </w:r>
      <w:r>
        <w:t xml:space="preserve">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0.032</m:t>
        </m:r>
      </m:oMath>
      <w:r>
        <w:t xml:space="preserve">),</w:t>
      </w:r>
      <w:r>
        <w:t xml:space="preserve"> </w:t>
      </w:r>
      <w:r>
        <w:t xml:space="preserve">which</w:t>
      </w:r>
      <w:r>
        <w:t xml:space="preserve"> </w:t>
      </w: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hypothesis-generating</w:t>
      </w:r>
      <w:r>
        <w:t xml:space="preserve"> </w:t>
      </w:r>
      <w:r>
        <w:t xml:space="preserve">lead.</w:t>
      </w:r>
      <w:r>
        <w:t xml:space="preserve"> </w:t>
      </w:r>
      <w:r>
        <w:t xml:space="preserve">We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closed-reference</w:t>
      </w:r>
      <w:r>
        <w:t xml:space="preserve"> </w:t>
      </w:r>
      <w:r>
        <w:t xml:space="preserve">marker</w:t>
      </w:r>
      <w:r>
        <w:t xml:space="preserve"> </w:t>
      </w:r>
      <w:r>
        <w:t xml:space="preserve">counting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species-specific</w:t>
      </w:r>
      <w:r>
        <w:t xml:space="preserve"> </w:t>
      </w:r>
      <w:r>
        <w:t xml:space="preserve">on</w:t>
      </w:r>
      <w:r>
        <w:t xml:space="preserve"> </w:t>
      </w:r>
      <w:r>
        <w:t xml:space="preserve">short</w:t>
      </w:r>
      <w:r>
        <w:t xml:space="preserve"> </w:t>
      </w:r>
      <w:r>
        <w:t xml:space="preserve">16S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fabricate</w:t>
      </w:r>
      <w:r>
        <w:t xml:space="preserve"> </w:t>
      </w:r>
      <w:r>
        <w:t xml:space="preserve">a</w:t>
      </w:r>
      <w:r>
        <w:t xml:space="preserve"> </w:t>
      </w:r>
      <w:r>
        <w:t xml:space="preserve">genus-level</w:t>
      </w:r>
      <w:r>
        <w:t xml:space="preserve"> </w:t>
      </w:r>
      <w:r>
        <w:t xml:space="preserve">signal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ASV</w:t>
      </w:r>
      <w:r>
        <w:t xml:space="preserve"> </w:t>
      </w:r>
      <w:r>
        <w:t xml:space="preserve">resolution</w:t>
      </w:r>
      <w:r>
        <w:t xml:space="preserve"> </w:t>
      </w:r>
      <w:r>
        <w:t xml:space="preserve">exposes,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surface</w:t>
      </w:r>
      <w:r>
        <w:t xml:space="preserve"> </w:t>
      </w:r>
      <w:r>
        <w:t xml:space="preserve">microbiome</w:t>
      </w:r>
      <w:r>
        <w:t xml:space="preserve"> </w:t>
      </w:r>
      <w:r>
        <w:t xml:space="preserve">cannot</w:t>
      </w:r>
      <w:r>
        <w:t xml:space="preserve"> </w:t>
      </w:r>
      <w:r>
        <w:t xml:space="preserve">grade</w:t>
      </w:r>
      <w:r>
        <w:t xml:space="preserve"> </w:t>
      </w:r>
      <w:r>
        <w:t xml:space="preserve">individual</w:t>
      </w:r>
      <w:r>
        <w:t xml:space="preserve"> </w:t>
      </w:r>
      <w:r>
        <w:t xml:space="preserve">mite</w:t>
      </w:r>
      <w:r>
        <w:t xml:space="preserve"> </w:t>
      </w:r>
      <w:r>
        <w:t xml:space="preserve">burden—direct</w:t>
      </w:r>
      <w:r>
        <w:t xml:space="preserve"> </w:t>
      </w:r>
      <w:r>
        <w:t xml:space="preserve">mite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remains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treatment.</w:t>
      </w:r>
    </w:p>
    <w:bookmarkStart w:id="21" w:name="importance"/>
    <w:p>
      <w:pPr>
        <w:pStyle w:val="Heading1"/>
      </w:pPr>
      <w:r>
        <w:t xml:space="preserve">Importance</w:t>
      </w:r>
    </w:p>
    <w:p>
      <w:pPr>
        <w:pStyle w:val="FirstParagraph"/>
      </w:pPr>
      <w:r>
        <w:t xml:space="preserve">Rosacea is a common, distressing facial skin disease linked to overgrowth of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mites. A bacterial swab that could estimate a patient’s mite load</w:t>
      </w:r>
      <w:r>
        <w:t xml:space="preserve"> </w:t>
      </w:r>
      <w:r>
        <w:t xml:space="preserve">would be clinically attractive, sparing an invasive skin biopsy. Reanalysing</w:t>
      </w:r>
      <w:r>
        <w:t xml:space="preserve"> </w:t>
      </w:r>
      <w:r>
        <w:t xml:space="preserve">public sequencing data, we show why this shortcut fails and surface a broader</w:t>
      </w:r>
      <w:r>
        <w:t xml:space="preserve"> </w:t>
      </w:r>
      <w:r>
        <w:t xml:space="preserve">cautionary lesson. A fast, popular way of naming bacteria from short DNA</w:t>
      </w:r>
      <w:r>
        <w:t xml:space="preserve"> </w:t>
      </w:r>
      <w:r>
        <w:t xml:space="preserve">reads—closed-reference counting—appeared to detect a mite-associated</w:t>
      </w:r>
      <w:r>
        <w:t xml:space="preserve"> </w:t>
      </w:r>
      <w:r>
        <w:t xml:space="preserve">bacterium,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, separating affected from healthy ocular surfaces. At</w:t>
      </w:r>
      <w:r>
        <w:t xml:space="preserve"> </w:t>
      </w:r>
      <w:r>
        <w:t xml:space="preserve">single-nucleotide resolution that bacterium was absent: the signal came from</w:t>
      </w:r>
      <w:r>
        <w:t xml:space="preserve"> </w:t>
      </w:r>
      <w:r>
        <w:t xml:space="preserve">unrelated common bacteria sharing a conserved DNA stretch. Microbiome studies</w:t>
      </w:r>
      <w:r>
        <w:t xml:space="preserve"> </w:t>
      </w:r>
      <w:r>
        <w:t xml:space="preserve">that name species this way risk reporting organisms that are not present unless</w:t>
      </w:r>
      <w:r>
        <w:t xml:space="preserve"> </w:t>
      </w:r>
      <w:r>
        <w:t xml:space="preserve">they confirm hits at exact-sequence resolution. The one signal that withstood</w:t>
      </w:r>
      <w:r>
        <w:t xml:space="preserve"> </w:t>
      </w:r>
      <w:r>
        <w:t xml:space="preserve">scrutiny—a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variant—offers a sharper, testable lead for how</w:t>
      </w:r>
      <w:r>
        <w:t xml:space="preserve"> </w:t>
      </w:r>
      <w:r>
        <w:t xml:space="preserve">the skin community tracks</w:t>
      </w:r>
      <w:r>
        <w:t xml:space="preserve"> </w:t>
      </w:r>
      <w:r>
        <w:rPr>
          <w:iCs/>
          <w:i/>
        </w:rPr>
        <w:t xml:space="preserve">Demodex</w:t>
      </w:r>
      <w:r>
        <w:t xml:space="preserve">.</w: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mite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folliculorum colonises the human pilosebaceous unit, and its</w:t>
      </w:r>
      <w:r>
        <w:t xml:space="preserve"> </w:t>
      </w:r>
      <w:r>
        <w:t xml:space="preserve">density is markedly elevated in rosacea: a meta-analysis of 23 case–control</w:t>
      </w:r>
      <w:r>
        <w:t xml:space="preserve"> </w:t>
      </w:r>
      <w:r>
        <w:t xml:space="preserve">studies put the odds ratio for infestation at roughly nine</w:t>
      </w:r>
      <w:r>
        <w:t xml:space="preserve"> </w:t>
      </w:r>
      <w:r>
        <w:t xml:space="preserve">, and several authors argue the mite is causal rather than</w:t>
      </w:r>
      <w:r>
        <w:t xml:space="preserve"> </w:t>
      </w:r>
      <w:r>
        <w:t xml:space="preserve">incidental</w:t>
      </w:r>
      <w:r>
        <w:t xml:space="preserve"> </w:t>
      </w:r>
      <w:r>
        <w:t xml:space="preserve">. A coherent mechanism links the mite to the</w:t>
      </w:r>
      <w:r>
        <w:t xml:space="preserve"> </w:t>
      </w:r>
      <w:r>
        <w:t xml:space="preserve">disorder’s canonical inflammatory axis: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and its bacterial passengers</w:t>
      </w:r>
      <w:r>
        <w:t xml:space="preserve"> </w:t>
      </w:r>
      <w:r>
        <w:t xml:space="preserve">stimulate Toll-like receptor 2 and drive cathelicidin/LL-37 production</w:t>
      </w:r>
      <w:r>
        <w:t xml:space="preserve"> </w:t>
      </w:r>
      <w:r>
        <w:t xml:space="preserve">, placing the mite upstream of the very inflammation that</w:t>
      </w:r>
      <w:r>
        <w:t xml:space="preserve"> </w:t>
      </w:r>
      <w:r>
        <w:t xml:space="preserve">the standard neurovascular/innate-immune account foregrounds. The strongest</w:t>
      </w:r>
      <w:r>
        <w:t xml:space="preserve"> </w:t>
      </w:r>
      <w:r>
        <w:t xml:space="preserve">therapeutic evidence on the</w:t>
      </w:r>
      <w:r>
        <w:t xml:space="preserve"> </w:t>
      </w:r>
      <w:r>
        <w:t xml:space="preserve">“</w:t>
      </w:r>
      <w:r>
        <w:t xml:space="preserve">it is the organism</w:t>
      </w:r>
      <w:r>
        <w:t xml:space="preserve">”</w:t>
      </w:r>
      <w:r>
        <w:t xml:space="preserve"> </w:t>
      </w:r>
      <w:r>
        <w:t xml:space="preserve">side is that a purely</w:t>
      </w:r>
      <w:r>
        <w:t xml:space="preserve"> </w:t>
      </w:r>
      <w:r>
        <w:t xml:space="preserve">antiparasitic agent, topical ivermectin, reduces inflammatory lesions and</w:t>
      </w:r>
      <w:r>
        <w:t xml:space="preserve"> </w:t>
      </w:r>
      <w:r>
        <w:t xml:space="preserve">outperforms metronidazole</w:t>
      </w:r>
      <w:r>
        <w:t xml:space="preserve"> </w:t>
      </w:r>
      <w:r>
        <w:t xml:space="preserve">, and its benefit</w:t>
      </w:r>
      <w:r>
        <w:t xml:space="preserve"> </w:t>
      </w:r>
      <w:r>
        <w:t xml:space="preserve">tracks changes in the skin bacterial community as mite density falls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If mite burden is the driver, then quantifying it should guide therapy: heavier</w:t>
      </w:r>
      <w:r>
        <w:t xml:space="preserve"> </w:t>
      </w:r>
      <w:r>
        <w:t xml:space="preserve">antiparasitic cover for high-density infestation, lighter where the load is low.</w:t>
      </w:r>
      <w:r>
        <w:t xml:space="preserve"> </w:t>
      </w:r>
      <w:r>
        <w:t xml:space="preserve">The reference assay is the standardised skin-surface biopsy with mite counting,</w:t>
      </w:r>
      <w:r>
        <w:t xml:space="preserve"> </w:t>
      </w:r>
      <w:r>
        <w:t xml:space="preserve">which is labour-intensive and operator-dependent. This motivates a tempting</w:t>
      </w:r>
      <w:r>
        <w:t xml:space="preserve"> </w:t>
      </w:r>
      <w:r>
        <w:t xml:space="preserve">shortcut. The mite carries a recognisable bacterial cargo—</w:t>
      </w:r>
      <w:r>
        <w:rPr>
          <w:iCs/>
          <w:i/>
        </w:rPr>
        <w:t xml:space="preserve">Snodgrassella alvi</w:t>
      </w:r>
      <w:r>
        <w:t xml:space="preserve">, an</w:t>
      </w:r>
      <w:r>
        <w:t xml:space="preserve"> </w:t>
      </w:r>
      <w:r>
        <w:t xml:space="preserve">insect-gut symbiont, was recovered from a heavily</w:t>
      </w:r>
      <w:r>
        <w:t xml:space="preserve"> </w:t>
      </w:r>
      <w:r>
        <w:rPr>
          <w:iCs/>
          <w:i/>
        </w:rPr>
        <w:t xml:space="preserve">Demodex</w:t>
      </w:r>
      <w:r>
        <w:t xml:space="preserve">-colonised facial</w:t>
      </w:r>
      <w:r>
        <w:t xml:space="preserve"> </w:t>
      </w:r>
      <w:r>
        <w:t xml:space="preserve">sample in a recent multi-omic study</w:t>
      </w:r>
      <w:r>
        <w:t xml:space="preserve"> </w:t>
      </w:r>
      <w:r>
        <w:t xml:space="preserve">,</w:t>
      </w:r>
      <w:r>
        <w:t xml:space="preserve"> </w:t>
      </w:r>
      <w:r>
        <w:rPr>
          <w:iCs/>
          <w:i/>
        </w:rPr>
        <w:t xml:space="preserve">Bacillus</w:t>
      </w:r>
      <w:r>
        <w:rPr>
          <w:iCs/>
          <w:i/>
        </w:rPr>
        <w:t xml:space="preserve"> </w:t>
      </w:r>
      <w:r>
        <w:rPr>
          <w:iCs/>
          <w:i/>
        </w:rPr>
        <w:t xml:space="preserve">oleronius</w:t>
      </w:r>
      <w:r>
        <w:t xml:space="preserve"> </w:t>
      </w:r>
      <w:r>
        <w:t xml:space="preserve">antigens stimulate inflammatory cells in rosacea</w:t>
      </w:r>
      <w:r>
        <w:t xml:space="preserve"> 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Cutibacterium kroppenstedtii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Bartonella quintana</w:t>
      </w:r>
      <w:r>
        <w:t xml:space="preserve"> </w:t>
      </w:r>
      <w:r>
        <w:t xml:space="preserve">have</w:t>
      </w:r>
      <w:r>
        <w:t xml:space="preserve"> </w:t>
      </w:r>
      <w:r>
        <w:t xml:space="preserve">been tied to the mite or to papulopustular rosacea, whose flora also shifts under</w:t>
      </w:r>
      <w:r>
        <w:t xml:space="preserve"> </w:t>
      </w:r>
      <w:r>
        <w:t xml:space="preserve">antibiotic therapy</w:t>
      </w:r>
      <w:r>
        <w:t xml:space="preserve"> </w:t>
      </w:r>
      <w:r>
        <w:t xml:space="preserve">—and these bacteria</w:t>
      </w:r>
      <w:r>
        <w:t xml:space="preserve"> </w:t>
      </w:r>
      <w:r>
        <w:t xml:space="preserve">appear in ordinary</w:t>
      </w:r>
      <w:r>
        <w:t xml:space="preserve"> </w:t>
      </w:r>
      <w:r>
        <w:t xml:space="preserve">16S amplicon surveys. Could their summed relative abundance act as a molecular</w:t>
      </w:r>
      <w:r>
        <w:t xml:space="preserve"> </w:t>
      </w:r>
      <w:r>
        <w:t xml:space="preserve">proxy for mite load?</w:t>
      </w:r>
    </w:p>
    <w:p>
      <w:pPr>
        <w:pStyle w:val="BodyText"/>
      </w:pPr>
      <w:r>
        <w:t xml:space="preserve">We answer with a deliberately austere, fully reproducible test, and we hold our</w:t>
      </w:r>
      <w:r>
        <w:t xml:space="preserve"> </w:t>
      </w:r>
      <w:r>
        <w:t xml:space="preserve">own result to the standard the field often skips: when the closed-reference index</w:t>
      </w:r>
      <w:r>
        <w:t xml:space="preserve"> </w:t>
      </w:r>
      <w:r>
        <w:t xml:space="preserve">produced a positive marker signal, we re-derived it at amplicon-sequence-variant</w:t>
      </w:r>
      <w:r>
        <w:t xml:space="preserve"> </w:t>
      </w:r>
      <w:r>
        <w:t xml:space="preserve">(ASV) resolution to check whether it was real. It was not. The headline is</w:t>
      </w:r>
      <w:r>
        <w:t xml:space="preserve"> </w:t>
      </w:r>
      <w:r>
        <w:t xml:space="preserve">therefore twofold—a methodological caution (closed-reference</w:t>
      </w:r>
      <w:r>
        <w:t xml:space="preserve"> </w:t>
      </w:r>
      <m:oMath>
        <m:r>
          <m:t>k</m:t>
        </m:r>
      </m:oMath>
      <w:r>
        <w:t xml:space="preserve">-mer counting</w:t>
      </w:r>
      <w:r>
        <w:t xml:space="preserve"> </w:t>
      </w:r>
      <w:r>
        <w:t xml:space="preserve">can manufacture a species-level signal from conserved 16S) and a relocated lead</w:t>
      </w:r>
      <w:r>
        <w:t xml:space="preserve"> </w:t>
      </w:r>
      <w:r>
        <w:t xml:space="preserve">(the genuine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 variant at the ocular surface is</w:t>
      </w:r>
      <w:r>
        <w:t xml:space="preserve"> </w:t>
      </w:r>
      <w:r>
        <w:rPr>
          <w:iCs/>
          <w:i/>
        </w:rPr>
        <w:t xml:space="preserve">Neisseria</w:t>
      </w:r>
      <w:r>
        <w:t xml:space="preserve">, not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)—and we argue both halves are useful precisely</w:t>
      </w:r>
      <w:r>
        <w:t xml:space="preserve"> </w:t>
      </w:r>
      <w:r>
        <w:t xml:space="preserve">because the first nearly fooled us.</w:t>
      </w:r>
    </w:p>
    <w:bookmarkEnd w:id="22"/>
    <w:bookmarkStart w:id="29" w:name="data-and-methods"/>
    <w:p>
      <w:pPr>
        <w:pStyle w:val="Heading1"/>
      </w:pPr>
      <w:r>
        <w:t xml:space="preserve">Data and methods</w:t>
      </w:r>
    </w:p>
    <w:bookmarkStart w:id="24" w:name="data-availability-audit"/>
    <w:p>
      <w:pPr>
        <w:pStyle w:val="Heading2"/>
      </w:pPr>
      <w:r>
        <w:t xml:space="preserve">Data-availability audit</w:t>
      </w:r>
    </w:p>
    <w:p>
      <w:pPr>
        <w:pStyle w:val="FirstParagraph"/>
      </w:pPr>
      <w:r>
        <w:t xml:space="preserve">Using NCBI E-utilities we searched the Sequence Read Archive and BioProject for</w:t>
      </w:r>
      <w:r>
        <w:t xml:space="preserve"> </w:t>
      </w:r>
      <w:r>
        <w:t xml:space="preserve">rosacea/</w:t>
      </w:r>
      <w:r>
        <w:rPr>
          <w:iCs/>
          <w:i/>
        </w:rPr>
        <w:t xml:space="preserve">Demodex</w:t>
      </w:r>
      <w:r>
        <w:t xml:space="preserve"> </w:t>
      </w:r>
      <w:r>
        <w:t xml:space="preserve">sequencing, recovering 656 runs across 25 BioProjects, of</w:t>
      </w:r>
      <w:r>
        <w:t xml:space="preserve"> </w:t>
      </w:r>
      <w:r>
        <w:t xml:space="preserve">which 17 were on-topic (Table </w:t>
      </w:r>
      <w:hyperlink w:anchor="tab:audit">
        <w:r>
          <w:rPr>
            <w:rStyle w:val="Hyperlink"/>
          </w:rPr>
          <w:t xml:space="preserve">1</w:t>
        </w:r>
      </w:hyperlink>
      <w:r>
        <w:t xml:space="preserve">). Because the BioProject</w:t>
      </w:r>
      <w:r>
        <w:t xml:space="preserve"> </w:t>
      </w:r>
      <w:r>
        <w:rPr>
          <w:rStyle w:val="VerbatimChar"/>
        </w:rPr>
        <w:t xml:space="preserve">esummary</w:t>
      </w:r>
      <w:r>
        <w:t xml:space="preserve"> </w:t>
      </w:r>
      <w:r>
        <w:t xml:space="preserve">endpoint was returning a server-side error during the study</w:t>
      </w:r>
      <w:r>
        <w:t xml:space="preserve"> </w:t>
      </w:r>
      <w:r>
        <w:t xml:space="preserve">window, study-level metadata were recovered from the SRA side via</w:t>
      </w:r>
      <w:r>
        <w:t xml:space="preserve"> </w:t>
      </w:r>
      <w:r>
        <w:rPr>
          <w:rStyle w:val="VerbatimChar"/>
        </w:rPr>
        <w:t xml:space="preserve">efetch</w:t>
      </w:r>
      <w:r>
        <w:t xml:space="preserve">. Two datasets anchor the analysis: a topical-ivermectin</w:t>
      </w:r>
      <w:r>
        <w:t xml:space="preserve"> </w:t>
      </w:r>
      <w:r>
        <w:t xml:space="preserve">before/after facial-skin 16S series (PRJDB18292; 6 subjects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{lesional,</w:t>
      </w:r>
      <w:r>
        <w:t xml:space="preserve"> </w:t>
      </w:r>
      <w:r>
        <w:t xml:space="preserve">non-lesional}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{pre, post}) and a</w:t>
      </w:r>
      <w:r>
        <w:t xml:space="preserve"> </w:t>
      </w:r>
      <w:r>
        <w:rPr>
          <w:iCs/>
          <w:i/>
        </w:rPr>
        <w:t xml:space="preserve">Demodex</w:t>
      </w:r>
      <w:r>
        <w:t xml:space="preserve">-infection-versus-control</w:t>
      </w:r>
      <w:r>
        <w:t xml:space="preserve"> </w:t>
      </w:r>
      <w:r>
        <w:t xml:space="preserve">ocular-surface 16S series (PRJNA692647; 14 vs 17).</w:t>
      </w:r>
    </w:p>
    <w:bookmarkStart w:id="23" w:name="tab:audit"/>
    <w:p>
      <w:pPr>
        <w:pStyle w:val="TableCaption"/>
      </w:pPr>
      <w:r>
        <w:t xml:space="preserve">Representative on-topic BioProjects from the SRA audit (17 total).</w:t>
      </w:r>
      <w:r>
        <w:t xml:space="preserve"> </w:t>
      </w:r>
      <w:r>
        <w:t xml:space="preserve">“</w:t>
      </w:r>
      <w:r>
        <w:t xml:space="preserve">multi</w:t>
      </w:r>
      <w:r>
        <w:t xml:space="preserve">”</w:t>
      </w:r>
      <w:r>
        <w:t xml:space="preserve"> </w:t>
      </w:r>
      <w:r>
        <w:t xml:space="preserve">= multi-omic;</w:t>
      </w:r>
      <w:r>
        <w:t xml:space="preserve"> </w:t>
      </w:r>
      <w:r>
        <w:t xml:space="preserve">“</w:t>
      </w:r>
      <w:r>
        <w:t xml:space="preserve">WGS</w:t>
      </w:r>
      <w:r>
        <w:t xml:space="preserve">”</w:t>
      </w:r>
      <w:r>
        <w:t xml:space="preserve"> </w:t>
      </w:r>
      <w:r>
        <w:t xml:space="preserve">= shotgun.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presentative on-topic BioProjects from the SRA audit (17 total). “multi” = multi-omic; “WGS” = shotgun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PRJDB18292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topical ivermectin, before/after (facial)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PRJEB82826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rosacea multi-omics (infestation + microbiome)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PRJNA1189573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skin/blood/stool microbiome in rosacea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PRJNA856121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ocular</w:t>
            </w:r>
            <w:r>
              <w:t xml:space="preserve"> </w:t>
            </w:r>
            <w:r>
              <w:rPr>
                <w:iCs/>
                <w:i/>
              </w:rPr>
              <w:t xml:space="preserve">Demodex</w:t>
            </w:r>
            <w:r>
              <w:t xml:space="preserve"> </w:t>
            </w:r>
            <w:r>
              <w:t xml:space="preserve">metagenomics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PRJNA879945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Demodex</w:t>
            </w:r>
            <w:r>
              <w:t xml:space="preserve"> </w:t>
            </w:r>
            <w:r>
              <w:t xml:space="preserve">blepharitis,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PRJNA692647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Demodex</w:t>
            </w:r>
            <w:r>
              <w:t xml:space="preserve"> </w:t>
            </w:r>
            <w:r>
              <w:t xml:space="preserve">infection vs control (ocular)</w:t>
            </w:r>
          </w:p>
        </w:tc>
      </w:tr>
    </w:tbl>
    <w:bookmarkEnd w:id="23"/>
    <w:bookmarkEnd w:id="24"/>
    <w:bookmarkStart w:id="25" w:name="X9c7fb01ea2a2bd69ffa9bad890e8aa653983ac7"/>
    <w:p>
      <w:pPr>
        <w:pStyle w:val="Heading2"/>
      </w:pPr>
      <w:r>
        <w:rPr>
          <w:iCs/>
          <w:i/>
        </w:rPr>
        <w:t xml:space="preserve">Demodex</w:t>
      </w:r>
      <w:r>
        <w:t xml:space="preserve">-associated taxon panel and diagnostic</w:t>
      </w:r>
      <w:r>
        <w:t xml:space="preserve"> </w:t>
      </w:r>
      <m:oMath>
        <m:r>
          <m:t>k</m:t>
        </m:r>
      </m:oMath>
      <w:r>
        <w:t xml:space="preserve">-mers</w:t>
      </w:r>
    </w:p>
    <w:p>
      <w:pPr>
        <w:pStyle w:val="FirstParagraph"/>
      </w:pPr>
      <w:r>
        <w:t xml:space="preserve">For each panel taxon we fetched up to eight 16S references from NCBI and computed</w:t>
      </w:r>
      <w:r>
        <w:t xml:space="preserve"> </w:t>
      </w:r>
      <w:r>
        <w:t xml:space="preserve">the set of canonical 31-mers. A</w:t>
      </w:r>
      <w:r>
        <w:t xml:space="preserve"> </w:t>
      </w:r>
      <m:oMath>
        <m:r>
          <m:t>k</m:t>
        </m:r>
      </m:oMath>
      <w:r>
        <w:t xml:space="preserve">-mer is deemed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for a taxon</w:t>
      </w:r>
      <w:r>
        <w:t xml:space="preserve"> </w:t>
      </w:r>
      <w:r>
        <w:t xml:space="preserve">if it occurs in that taxon’s references but in (i) no other panel taxon and</w:t>
      </w:r>
      <w:r>
        <w:t xml:space="preserve"> </w:t>
      </w:r>
      <w:r>
        <w:t xml:space="preserve">(ii) none of a background set of common human flora. The background subtraction</w:t>
      </w:r>
      <w:r>
        <w:t xml:space="preserve"> </w:t>
      </w:r>
      <w:r>
        <w:t xml:space="preserve">is essential: without it, conserved 16S stretches shared with abundant flora are</w:t>
      </w:r>
      <w:r>
        <w:t xml:space="preserve"> </w:t>
      </w:r>
      <w:r>
        <w:t xml:space="preserve">misattributed to rare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 taxa, inflating the signal by one to</w:t>
      </w:r>
      <w:r>
        <w:t xml:space="preserve"> </w:t>
      </w:r>
      <w:r>
        <w:t xml:space="preserve">two orders of magnitude. Crucially the background must be</w:t>
      </w:r>
      <w:r>
        <w:t xml:space="preserve"> </w:t>
      </w:r>
      <w:r>
        <w:rPr>
          <w:iCs/>
          <w:i/>
        </w:rPr>
        <w:t xml:space="preserve">matched to the</w:t>
      </w:r>
      <w:r>
        <w:rPr>
          <w:iCs/>
          <w:i/>
        </w:rPr>
        <w:t xml:space="preserve"> </w:t>
      </w:r>
      <w:r>
        <w:rPr>
          <w:iCs/>
          <w:i/>
        </w:rPr>
        <w:t xml:space="preserve">body site</w:t>
      </w:r>
      <w:r>
        <w:t xml:space="preserve">: a skin-only background (24 facial taxa) leaves ocular samples open to</w:t>
      </w:r>
      <w:r>
        <w:t xml:space="preserve"> </w:t>
      </w:r>
      <w:r>
        <w:t xml:space="preserve">cross-mapping, so for the ocular cohort we extended it with ocular/environmental</w:t>
      </w:r>
      <w:r>
        <w:t xml:space="preserve"> </w:t>
      </w:r>
      <w:r>
        <w:t xml:space="preserve">and Rhizobiales/</w:t>
      </w:r>
      <w:r>
        <w:rPr>
          <w:iCs/>
          <w:i/>
        </w:rPr>
        <w:t xml:space="preserve">Bacillus</w:t>
      </w:r>
      <w:r>
        <w:t xml:space="preserve"> </w:t>
      </w:r>
      <w:r>
        <w:t xml:space="preserve">relatives (38 taxa total). Two abundant skin taxa</w:t>
      </w:r>
      <w:r>
        <w:t xml:space="preserve"> </w:t>
      </w:r>
      <w:r>
        <w:t xml:space="preserve">(</w:t>
      </w:r>
      <w:r>
        <w:rPr>
          <w:iCs/>
          <w:i/>
        </w:rPr>
        <w:t xml:space="preserve">Cutibacterium acnes</w:t>
      </w:r>
      <w:r>
        <w:t xml:space="preserve">,</w:t>
      </w:r>
      <w:r>
        <w:t xml:space="preserve"> </w:t>
      </w:r>
      <w:r>
        <w:rPr>
          <w:iCs/>
          <w:i/>
        </w:rPr>
        <w:t xml:space="preserve">Staphylococcus epidermidis</w:t>
      </w:r>
      <w:r>
        <w:t xml:space="preserve">) are carried</w:t>
      </w:r>
      <w:r>
        <w:t xml:space="preserve"> </w:t>
      </w:r>
      <w:r>
        <w:t xml:space="preserve">as scored context but excluded from the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index.</w:t>
      </w:r>
    </w:p>
    <w:bookmarkEnd w:id="25"/>
    <w:bookmarkStart w:id="26" w:name="the-molecular-mite-burden-index"/>
    <w:p>
      <w:pPr>
        <w:pStyle w:val="Heading2"/>
      </w:pPr>
      <w:r>
        <w:t xml:space="preserve">The molecular mite-burden index</w:t>
      </w:r>
    </w:p>
    <w:p>
      <w:pPr>
        <w:pStyle w:val="FirstParagraph"/>
      </w:pPr>
      <w:r>
        <w:t xml:space="preserve">For each sequencing run we streamed the FASTQ from the European Nucleotide</w:t>
      </w:r>
      <w:r>
        <w:t xml:space="preserve"> </w:t>
      </w:r>
      <w:r>
        <w:t xml:space="preserve">Archive, decompressed it in flight, and attributed a read to a taxon when it</w:t>
      </w:r>
      <w:r>
        <w:t xml:space="preserve"> </w:t>
      </w:r>
      <w:r>
        <w:t xml:space="preserve">carried at least two diagnostic</w:t>
      </w:r>
      <w:r>
        <w:t xml:space="preserve"> </w:t>
      </w:r>
      <m:oMath>
        <m:r>
          <m:t>k</m:t>
        </m:r>
      </m:oMath>
      <w:r>
        <w:t xml:space="preserve">-mers for that taxon (the two-hit rule raises</w:t>
      </w:r>
      <w:r>
        <w:t xml:space="preserve"> </w:t>
      </w:r>
      <w:r>
        <w:t xml:space="preserve">specificity over single-</w:t>
      </w:r>
      <m:oMath>
        <m:r>
          <m:t>k</m:t>
        </m:r>
      </m:oMath>
      <w:r>
        <w:t xml:space="preserve">-mer attribution). The per-taxon score is the</w:t>
      </w:r>
      <w:r>
        <w:t xml:space="preserve"> </w:t>
      </w:r>
      <w:r>
        <w:t xml:space="preserve">fraction of reads so attributed; the composite</w:t>
      </w:r>
      <w:r>
        <w:t xml:space="preserve"> </w:t>
      </w:r>
      <w:r>
        <w:rPr>
          <w:rStyle w:val="VerbatimChar"/>
        </w:rPr>
        <w:t xml:space="preserve">mite_index</w:t>
      </w:r>
      <w:r>
        <w:t xml:space="preserve"> </w:t>
      </w:r>
      <w:r>
        <w:t xml:space="preserve">is the sum of</w:t>
      </w:r>
      <w:r>
        <w:t xml:space="preserve"> </w:t>
      </w:r>
      <w:r>
        <w:t xml:space="preserve">the four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 fractions. The index is an explicitly relative,</w:t>
      </w:r>
      <w:r>
        <w:t xml:space="preserve"> </w:t>
      </w:r>
      <w:r>
        <w:t xml:space="preserve">closed-reference proxy—not an ASV census.</w:t>
      </w:r>
    </w:p>
    <w:bookmarkEnd w:id="26"/>
    <w:bookmarkStart w:id="27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Treatment effects used the paired Wilcoxon signed-rank test and an exact sign</w:t>
      </w:r>
      <w:r>
        <w:t xml:space="preserve"> </w:t>
      </w:r>
      <w:r>
        <w:t xml:space="preserve">test within subject</w:t>
      </w:r>
      <m:oMath>
        <m:r>
          <m:rPr>
            <m:sty m:val="p"/>
          </m:rPr>
          <m:t>×</m:t>
        </m:r>
      </m:oMath>
      <w:r>
        <w:t xml:space="preserve">site strata 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pairs). Group separation used the</w:t>
      </w:r>
      <w:r>
        <w:t xml:space="preserve"> </w:t>
      </w:r>
      <w:r>
        <w:t xml:space="preserve">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 (two-sided and the one-sided</w:t>
      </w:r>
      <w:r>
        <w:t xml:space="preserve"> </w:t>
      </w:r>
      <w:r>
        <w:rPr>
          <w:iCs/>
          <w:i/>
        </w:rPr>
        <w:t xml:space="preserve">Demodex</w:t>
      </w:r>
      <m:oMath>
        <m:r>
          <m:rPr>
            <m:sty m:val="p"/>
          </m:rPr>
          <m:t>&gt;</m:t>
        </m:r>
      </m:oMath>
      <w:r>
        <w:t xml:space="preserve">control</w:t>
      </w:r>
      <w:r>
        <w:t xml:space="preserve"> </w:t>
      </w:r>
      <w:r>
        <w:t xml:space="preserve">alternative) and the ROC-AUC obtained from the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statistic. The</w:t>
      </w:r>
      <w:r>
        <w:t xml:space="preserve"> </w:t>
      </w:r>
      <m:oMath>
        <m:r>
          <m:t>k</m:t>
        </m:r>
      </m:oMath>
      <w:r>
        <w:t xml:space="preserve">-mer steps are</w:t>
      </w:r>
      <w:r>
        <w:t xml:space="preserve"> </w:t>
      </w:r>
      <w:r>
        <w:t xml:space="preserve">pure-Python with offline self-tests; networked steps are read-only and cached.</w:t>
      </w:r>
    </w:p>
    <w:bookmarkEnd w:id="27"/>
    <w:bookmarkStart w:id="28" w:name="sec:dada2"/>
    <w:p>
      <w:pPr>
        <w:pStyle w:val="Heading2"/>
      </w:pPr>
      <w:r>
        <w:t xml:space="preserve">Exact-sequence (ASV) re-analysis</w:t>
      </w:r>
    </w:p>
    <w:p>
      <w:pPr>
        <w:pStyle w:val="FirstParagraph"/>
      </w:pPr>
      <w:r>
        <w:t xml:space="preserve">To test the closed-reference lead at single-nucleotide resolution we reprocessed</w:t>
      </w:r>
      <w:r>
        <w:t xml:space="preserve"> </w:t>
      </w:r>
      <w:r>
        <w:t xml:space="preserve">the ocular cohort (PRJNA692647) with a faithful DADA2 pipeline</w:t>
      </w:r>
      <w:r>
        <w:t xml:space="preserve"> </w:t>
      </w:r>
      <w:r>
        <w:t xml:space="preserve">. The runs are paired-end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250</m:t>
        </m:r>
      </m:oMath>
      <w:r>
        <w:t xml:space="preserve"> </w:t>
      </w:r>
      <w:r>
        <w:t xml:space="preserve">V4 (515F/806R)</w:t>
      </w:r>
      <w:r>
        <w:t xml:space="preserve"> </w:t>
      </w:r>
      <w:r>
        <w:t xml:space="preserve">mislabelled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in the archive; primers (preceded by a variable</w:t>
      </w:r>
      <w:r>
        <w:t xml:space="preserve"> </w:t>
      </w:r>
      <w:r>
        <w:t xml:space="preserve">heterogeneity spacer) were removed with</w:t>
      </w:r>
      <w:r>
        <w:t xml:space="preserve"> </w:t>
      </w:r>
      <w:r>
        <w:rPr>
          <w:rStyle w:val="VerbatimChar"/>
        </w:rPr>
        <w:t xml:space="preserve">cutadapt</w:t>
      </w:r>
      <w:r>
        <w:t xml:space="preserve"> </w:t>
      </w:r>
      <w:r>
        <w:t xml:space="preserve">,</w:t>
      </w:r>
      <w:r>
        <w:t xml:space="preserve"> </w:t>
      </w:r>
      <w:r>
        <w:t xml:space="preserve">after which</w:t>
      </w:r>
      <w:r>
        <w:t xml:space="preserve"> </w:t>
      </w:r>
      <w:r>
        <w:rPr>
          <w:rStyle w:val="VerbatimChar"/>
        </w:rPr>
        <w:t xml:space="preserve">filterAndTrim</w:t>
      </w:r>
      <w:r>
        <w:t xml:space="preserve"> </w:t>
      </w:r>
      <w:r>
        <w:t xml:space="preserve">(truncation</w:t>
      </w:r>
      <w:r>
        <w:t xml:space="preserve"> </w:t>
      </w:r>
      <m:oMath>
        <m:r>
          <m:t>170</m:t>
        </m:r>
        <m:r>
          <m:rPr>
            <m:sty m:val="p"/>
          </m:rPr>
          <m:t>/</m:t>
        </m:r>
        <m:r>
          <m:t>150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maxEE</w:t>
      </w:r>
      <m:oMath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learnErrors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dada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mergePairs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removeBimeraDenovo</w:t>
      </w:r>
      <w:r>
        <w:t xml:space="preserve"> </w:t>
      </w:r>
      <w:r>
        <w:t xml:space="preserve">yielded amplicon sequence variants. Taxonomy used the</w:t>
      </w:r>
      <w:r>
        <w:t xml:space="preserve"> </w:t>
      </w:r>
      <w:r>
        <w:t xml:space="preserve">SILVA v138.1 training set with exact-match species assignment</w:t>
      </w:r>
      <w:r>
        <w:t xml:space="preserve"> </w:t>
      </w:r>
      <w:r>
        <w:t xml:space="preserve">.</w:t>
      </w:r>
      <w:r>
        <w:t xml:space="preserve"> </w:t>
      </w:r>
      <w:r>
        <w:t xml:space="preserve">To bridge the two methods we applied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diagnostic</w:t>
      </w:r>
      <w:r>
        <w:t xml:space="preserve"> </w:t>
      </w:r>
      <m:oMath>
        <m:r>
          <m:t>k</m:t>
        </m:r>
      </m:oMath>
      <w:r>
        <w:t xml:space="preserve">-mer panels</w:t>
      </w:r>
      <w:r>
        <w:t xml:space="preserve"> </w:t>
      </w:r>
      <w:r>
        <w:t xml:space="preserve">directly to the ASV sequences (two-hit rule) and computed the percent identity of</w:t>
      </w:r>
      <w:r>
        <w:t xml:space="preserve"> </w:t>
      </w:r>
      <w:r>
        <w:t xml:space="preserve">each flagged ASV to its panel taxon’s 16S reference. ASV group separation used</w:t>
      </w:r>
      <w:r>
        <w:t xml:space="preserve"> </w:t>
      </w:r>
      <w:r>
        <w:t xml:space="preserve">the same Mann–Whitney</w:t>
      </w:r>
      <w:r>
        <w:t xml:space="preserve"> </w:t>
      </w:r>
      <m:oMath>
        <m:r>
          <m:t>U</m:t>
        </m:r>
      </m:oMath>
      <w:r>
        <w:t xml:space="preserve">/AUC as above.</w:t>
      </w:r>
    </w:p>
    <w:bookmarkEnd w:id="28"/>
    <w:bookmarkEnd w:id="29"/>
    <w:bookmarkStart w:id="40" w:name="results"/>
    <w:p>
      <w:pPr>
        <w:pStyle w:val="Heading1"/>
      </w:pPr>
      <w:r>
        <w:t xml:space="preserve">Results</w:t>
      </w:r>
    </w:p>
    <w:bookmarkStart w:id="30" w:name="X4fdb20ac2da2e912d81c56d65fbcd20bcf95812"/>
    <w:p>
      <w:pPr>
        <w:pStyle w:val="Heading2"/>
      </w:pPr>
      <w:r>
        <w:t xml:space="preserve">Specificity must be engineered, not assumed</w:t>
      </w:r>
    </w:p>
    <w:p>
      <w:pPr>
        <w:pStyle w:val="FirstParagraph"/>
      </w:pPr>
      <w:r>
        <w:t xml:space="preserve">The first, unbackground-subtracted index attributed 20–50% of reads to</w:t>
      </w:r>
      <w:r>
        <w:t xml:space="preserve"> </w:t>
      </w:r>
      <w:r>
        <w:rPr>
          <w:iCs/>
          <w:i/>
        </w:rPr>
        <w:t xml:space="preserve">Bacillus oleronius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Bartonella</w:t>
      </w:r>
      <w:r>
        <w:t xml:space="preserve">—biologically impossible for</w:t>
      </w:r>
      <w:r>
        <w:t xml:space="preserve"> </w:t>
      </w:r>
      <w:r>
        <w:t xml:space="preserve">rare commensals—because panel-unique</w:t>
      </w:r>
      <w:r>
        <w:t xml:space="preserve"> </w:t>
      </w:r>
      <m:oMath>
        <m:r>
          <m:t>k</m:t>
        </m:r>
      </m:oMath>
      <w:r>
        <w:t xml:space="preserve">-mers still fell in conserved 16S</w:t>
      </w:r>
      <w:r>
        <w:t xml:space="preserve"> </w:t>
      </w:r>
      <w:r>
        <w:t xml:space="preserve">regions shared with the dominant skin flora. Subtracting a 24-taxon skin</w:t>
      </w:r>
      <w:r>
        <w:t xml:space="preserve"> </w:t>
      </w:r>
      <w:r>
        <w:t xml:space="preserve">background and requiring two diagnostic</w:t>
      </w:r>
      <w:r>
        <w:t xml:space="preserve"> </w:t>
      </w:r>
      <m:oMath>
        <m:r>
          <m:t>k</m:t>
        </m:r>
      </m:oMath>
      <w:r>
        <w:t xml:space="preserve">-mers per read collapsed these to</w:t>
      </w:r>
      <w:r>
        <w:t xml:space="preserve"> </w:t>
      </w:r>
      <w:r>
        <w:t xml:space="preserve">plausible levels (single digits to low hundreds of reads), with the dominant</w:t>
      </w:r>
      <w:r>
        <w:t xml:space="preserve"> </w:t>
      </w:r>
      <w:r>
        <w:t xml:space="preserve">signal correctly residing in</w:t>
      </w:r>
      <w:r>
        <w:t xml:space="preserve"> </w:t>
      </w:r>
      <w:r>
        <w:rPr>
          <w:iCs/>
          <w:i/>
        </w:rPr>
        <w:t xml:space="preserve">C. acnes</w:t>
      </w:r>
      <w:r>
        <w:t xml:space="preserve">/</w:t>
      </w:r>
      <w:r>
        <w:rPr>
          <w:iCs/>
          <w:i/>
        </w:rPr>
        <w:t xml:space="preserve">S. epidermidis</w:t>
      </w:r>
      <w:r>
        <w:t xml:space="preserve">. This is</w:t>
      </w:r>
      <w:r>
        <w:t xml:space="preserve"> </w:t>
      </w:r>
      <w:r>
        <w:t xml:space="preserve">a cautionary methods result in its own right: closed-reference marker counting</w:t>
      </w:r>
      <w:r>
        <w:t xml:space="preserve"> </w:t>
      </w:r>
      <w:r>
        <w:t xml:space="preserve">on short 16S reads is only as good as its negative control.</w:t>
      </w:r>
    </w:p>
    <w:bookmarkEnd w:id="30"/>
    <w:bookmarkStart w:id="32" w:name="treatment-arm-null-and-mixed"/>
    <w:p>
      <w:pPr>
        <w:pStyle w:val="Heading2"/>
      </w:pPr>
      <w:r>
        <w:t xml:space="preserve">Treatment arm: null and mixed</w:t>
      </w:r>
    </w:p>
    <w:p>
      <w:pPr>
        <w:pStyle w:val="FirstParagraph"/>
      </w:pPr>
      <w:r>
        <w:t xml:space="preserve">Across the paired ivermectin design, neither the composite index nor any single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 taxon changed significantly from pre- to post-treatment in</w:t>
      </w:r>
      <w:r>
        <w:t xml:space="preserve"> </w:t>
      </w:r>
      <w:r>
        <w:t xml:space="preserve">either lesional or non-lesional skin (all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0.25</m:t>
        </m:r>
      </m:oMath>
      <w:r>
        <w:t xml:space="preserve">; Table </w:t>
      </w:r>
      <w:hyperlink w:anchor="tab:treat">
        <w:r>
          <w:rPr>
            <w:rStyle w:val="Hyperlink"/>
          </w:rPr>
          <w:t xml:space="preserve">2</w:t>
        </w:r>
      </w:hyperlink>
      <w:r>
        <w:t xml:space="preserve">).</w:t>
      </w:r>
      <w:r>
        <w:t xml:space="preserve"> </w:t>
      </w:r>
      <w:r>
        <w:t xml:space="preserve">The direction was mixed (four up, two down for the lesional composite), with one</w:t>
      </w:r>
      <w:r>
        <w:t xml:space="preserve"> </w:t>
      </w:r>
      <w:r>
        <w:t xml:space="preserve">subject dominating the variance. We read this as a sampling-physics result more</w:t>
      </w:r>
      <w:r>
        <w:t xml:space="preserve"> </w:t>
      </w:r>
      <w:r>
        <w:t xml:space="preserve">than a biological one: surface swabs under-sample a mite that lives deep in the</w:t>
      </w:r>
      <w:r>
        <w:t xml:space="preserve"> </w:t>
      </w:r>
      <w:r>
        <w:t xml:space="preserve">follicle, and antiparasitic-induced mite lysis can transiently release bacterial</w:t>
      </w:r>
      <w:r>
        <w:t xml:space="preserve"> </w:t>
      </w:r>
      <w:r>
        <w:t xml:space="preserve">cargo onto the surface, so a surface bacterial readout is a poor instrument for a</w:t>
      </w:r>
      <w:r>
        <w:t xml:space="preserve"> </w:t>
      </w:r>
      <w:r>
        <w:t xml:space="preserve">follicular load.</w:t>
      </w:r>
    </w:p>
    <w:bookmarkStart w:id="31" w:name="tab:treat"/>
    <w:p>
      <w:pPr>
        <w:pStyle w:val="TableCaption"/>
      </w:pPr>
      <w:r>
        <w:t xml:space="preserve">Ivermectin before/after (PRJDB18292): paired tests on the composite</w:t>
      </w:r>
      <w:r>
        <w:t xml:space="preserve"> </w:t>
      </w:r>
      <w:r>
        <w:t xml:space="preserve">mite index. No stratum or single taxon reached significance.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Ivermectin before/after (PRJDB18292): paired tests on the composite mite index. No stratum or single taxon reached significanc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down/up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Wilcoxon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lesional /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non-lesional / 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</w:tr>
    </w:tbl>
    <w:bookmarkEnd w:id="31"/>
    <w:bookmarkEnd w:id="32"/>
    <w:bookmarkStart w:id="37" w:name="X6ff9502cfc9d4508f365b0479f1191572dd2b08"/>
    <w:p>
      <w:pPr>
        <w:pStyle w:val="Heading2"/>
      </w:pPr>
      <w:r>
        <w:t xml:space="preserve">Validation arm: the verdict turns on the negative control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iCs/>
          <w:i/>
        </w:rPr>
        <w:t xml:space="preserve">Demodex</w:t>
      </w:r>
      <w:r>
        <w:t xml:space="preserve">-versus-control comparison the answer depends on whether the</w:t>
      </w:r>
      <w:r>
        <w:t xml:space="preserve"> </w:t>
      </w:r>
      <w:r>
        <w:t xml:space="preserve">background is matched to the body site. With a</w:t>
      </w:r>
      <w:r>
        <w:t xml:space="preserve"> </w:t>
      </w:r>
      <w:r>
        <w:rPr>
          <w:iCs/>
          <w:i/>
        </w:rPr>
        <w:t xml:space="preserve">skin-only</w:t>
      </w:r>
      <w:r>
        <w:t xml:space="preserve"> </w:t>
      </w:r>
      <w:r>
        <w:t xml:space="preserve">background the</w:t>
      </w:r>
      <w:r>
        <w:t xml:space="preserve"> </w:t>
      </w:r>
      <w:r>
        <w:t xml:space="preserve">composite did not discriminate (ROC-AUC</w:t>
      </w:r>
      <w:r>
        <w:t xml:space="preserve"> </w:t>
      </w:r>
      <m:oMath>
        <m:r>
          <m:t>0.41</m:t>
        </m:r>
      </m:oMath>
      <w:r>
        <w:t xml:space="preserve">); decomposition showed why</w:t>
      </w:r>
      <w:r>
        <w:t xml:space="preserve"> </w:t>
      </w:r>
      <w:r>
        <w:rPr>
          <w:iCs/>
          <w:i/>
        </w:rPr>
        <w:t xml:space="preserve">Bartonella</w:t>
      </w:r>
      <w:r>
        <w:t xml:space="preserve"> </w:t>
      </w:r>
      <w:r>
        <w:t xml:space="preserve">ran backwards (AUC</w:t>
      </w:r>
      <w:r>
        <w:t xml:space="preserve"> </w:t>
      </w:r>
      <m:oMath>
        <m:r>
          <m:t>0.30</m:t>
        </m:r>
      </m:oMath>
      <w:r>
        <w:t xml:space="preserve">), a near-certain artefact of</w:t>
      </w:r>
      <w:r>
        <w:t xml:space="preserve"> </w:t>
      </w:r>
      <w:r>
        <w:t xml:space="preserve">cross-mapping to ocular Proteobacteria (Rhizobiales/Alphaproteobacteria) absent</w:t>
      </w:r>
      <w:r>
        <w:t xml:space="preserve"> </w:t>
      </w:r>
      <w:r>
        <w:t xml:space="preserve">from that background. We therefore extended the background with ocular and</w:t>
      </w:r>
      <w:r>
        <w:t xml:space="preserve"> </w:t>
      </w:r>
      <w:r>
        <w:t xml:space="preserve">environmental taxa and with Rhizobiales/</w:t>
      </w:r>
      <w:r>
        <w:rPr>
          <w:iCs/>
          <w:i/>
        </w:rPr>
        <w:t xml:space="preserve">Bacillus</w:t>
      </w:r>
      <w:r>
        <w:t xml:space="preserve"> </w:t>
      </w:r>
      <w:r>
        <w:t xml:space="preserve">relatives of the panel.</w:t>
      </w:r>
      <w:r>
        <w:t xml:space="preserve"> </w:t>
      </w:r>
      <w:r>
        <w:t xml:space="preserve">This collapsed the artefact (the</w:t>
      </w:r>
      <w:r>
        <w:t xml:space="preserve"> </w:t>
      </w:r>
      <w:r>
        <w:rPr>
          <w:iCs/>
          <w:i/>
        </w:rPr>
        <w:t xml:space="preserve">Bartonella</w:t>
      </w:r>
      <w:r>
        <w:t xml:space="preserve"> </w:t>
      </w:r>
      <w:r>
        <w:t xml:space="preserve">diagnostic set fell from</w:t>
      </w:r>
      <w:r>
        <w:t xml:space="preserve"> </w:t>
      </w:r>
      <m:oMath>
        <m:r>
          <m:t>1244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776</m:t>
        </m:r>
      </m:oMath>
      <w:r>
        <w:t xml:space="preserve"> </w:t>
      </w:r>
      <m:oMath>
        <m:r>
          <m:t>k</m:t>
        </m:r>
      </m:oMath>
      <w:r>
        <w:t xml:space="preserve">-mers and its per-sample reads from thousands to single</w:t>
      </w:r>
      <w:r>
        <w:t xml:space="preserve"> </w:t>
      </w:r>
      <w:r>
        <w:t xml:space="preserve">digits), and re-scoring gave a different verdict (Table </w:t>
      </w:r>
      <w:hyperlink w:anchor="tab:val">
        <w:r>
          <w:rPr>
            <w:rStyle w:val="Hyperlink"/>
          </w:rPr>
          <w:t xml:space="preserve">3</w:t>
        </w:r>
      </w:hyperlink>
      <w:r>
        <w:t xml:space="preserve">): the</w:t>
      </w:r>
      <w:r>
        <w:t xml:space="preserve"> </w:t>
      </w:r>
      <w:r>
        <w:t xml:space="preserve">composite now separates infected from control surfaces in the predicted direction</w:t>
      </w:r>
      <w:r>
        <w:t xml:space="preserve"> </w:t>
      </w:r>
      <w:r>
        <w:t xml:space="preserve">(AUC</w:t>
      </w:r>
      <w:r>
        <w:t xml:space="preserve"> </w:t>
      </w:r>
      <m:oMath>
        <m:r>
          <m:t>0.66</m:t>
        </m:r>
      </m:oMath>
      <w:r>
        <w:t xml:space="preserve">; one-sided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0.074</m:t>
        </m:r>
      </m:oMath>
      <w:r>
        <w:t xml:space="preserve">), carried by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(AUC</w:t>
      </w:r>
      <w:r>
        <w:t xml:space="preserve"> </w:t>
      </w:r>
      <m:oMath>
        <m:r>
          <m:t>0.65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0.085</m:t>
        </m:r>
      </m:oMath>
      <w:r>
        <w:t xml:space="preserve">) and</w:t>
      </w:r>
      <w:r>
        <w:t xml:space="preserve"> </w:t>
      </w:r>
      <w:r>
        <w:rPr>
          <w:iCs/>
          <w:i/>
        </w:rPr>
        <w:t xml:space="preserve">Bacillus</w:t>
      </w:r>
      <w:r>
        <w:t xml:space="preserve"> </w:t>
      </w:r>
      <w:r>
        <w:t xml:space="preserve">(AUC</w:t>
      </w:r>
      <w:r>
        <w:t xml:space="preserve"> </w:t>
      </w:r>
      <m:oMath>
        <m:r>
          <m:t>0.58</m:t>
        </m:r>
      </m:oMath>
      <w:r>
        <w:t xml:space="preserve">).</w:t>
      </w:r>
      <w:r>
        <w:t xml:space="preserve"> </w:t>
      </w:r>
      <w:r>
        <w:rPr>
          <w:iCs/>
          <w:i/>
        </w:rPr>
        <w:t xml:space="preserve">Bartonella</w:t>
      </w:r>
      <w:r>
        <w:t xml:space="preserve"> </w:t>
      </w:r>
      <w:r>
        <w:t xml:space="preserve">is</w:t>
      </w:r>
      <w:r>
        <w:t xml:space="preserve"> </w:t>
      </w:r>
      <w:r>
        <w:t xml:space="preserve">still faintly inverted but now contributes essentially nothing (median</w:t>
      </w:r>
      <w:r>
        <w:t xml:space="preserve"> </w:t>
      </w:r>
      <m:oMath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so it no longer drags the sum. The methodological moral is</w:t>
      </w:r>
      <w:r>
        <w:t xml:space="preserve"> </w:t>
      </w:r>
      <w:r>
        <w:t xml:space="preserve">blunt: closed-reference marker counting on short amplicons is meaningless</w:t>
      </w:r>
      <w:r>
        <w:t xml:space="preserve"> </w:t>
      </w:r>
      <w:r>
        <w:t xml:space="preserve">without a body-site-matched negative control, and the Stage-1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was an</w:t>
      </w:r>
      <w:r>
        <w:t xml:space="preserve"> </w:t>
      </w:r>
      <w:r>
        <w:t xml:space="preserve">artefact of a mismatched one—not evidence against the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hypothesis.</w:t>
      </w:r>
      <w:r>
        <w:t xml:space="preserve"> </w:t>
      </w:r>
      <w:r>
        <w:t xml:space="preserve">We stress, however, that this</w:t>
      </w:r>
      <w:r>
        <w:t xml:space="preserve"> </w:t>
      </w:r>
      <m:oMath>
        <m:r>
          <m:t>k</m:t>
        </m:r>
      </m:oMath>
      <w:r>
        <w:t xml:space="preserve">-mer attribution is provisional: Sec. </w:t>
      </w:r>
      <w:hyperlink w:anchor="sec:asv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shows the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component is itself a cross-mapping artefact once the reads are</w:t>
      </w:r>
      <w:r>
        <w:t xml:space="preserve"> </w:t>
      </w:r>
      <w:r>
        <w:t xml:space="preserve">resolved to exact sequences.</w:t>
      </w:r>
    </w:p>
    <w:bookmarkStart w:id="33" w:name="tab:val"/>
    <w:p>
      <w:pPr>
        <w:pStyle w:val="TableCaption"/>
      </w:pPr>
      <w:r>
        <w:rPr>
          <w:iCs/>
          <w:i/>
        </w:rPr>
        <w:t xml:space="preserve">Demodex</w:t>
      </w:r>
      <w:r>
        <w:t xml:space="preserve"> </w:t>
      </w:r>
      <w:r>
        <w:t xml:space="preserve">infection vs control (PRJNA692647),</w:t>
      </w:r>
      <w:r>
        <w:t xml:space="preserve"> </w:t>
      </w:r>
      <w:r>
        <w:rPr>
          <w:iCs/>
          <w:i/>
        </w:rPr>
        <w:t xml:space="preserve">body-site-matched</w:t>
      </w:r>
      <w:r>
        <w:rPr>
          <w:iCs/>
          <w:i/>
        </w:rPr>
        <w:t xml:space="preserve"> </w:t>
      </w:r>
      <w:r>
        <w:rPr>
          <w:iCs/>
          <w:i/>
        </w:rPr>
        <w:t xml:space="preserve">background</w:t>
      </w:r>
      <w:r>
        <w:t xml:space="preserve">: group medians and ROC-AUC for the one-sided</w:t>
      </w:r>
      <w:r>
        <w:t xml:space="preserve"> </w:t>
      </w:r>
      <w:r>
        <w:rPr>
          <w:iCs/>
          <w:i/>
        </w:rPr>
        <w:t xml:space="preserve">Demodex</w:t>
      </w:r>
      <m:oMath>
        <m:r>
          <m:rPr>
            <m:sty m:val="p"/>
          </m:rPr>
          <m:t>&gt;</m:t>
        </m:r>
      </m:oMath>
      <w:r>
        <w:t xml:space="preserve">control</w:t>
      </w:r>
      <w:r>
        <w:t xml:space="preserve"> </w:t>
      </w:r>
      <w:r>
        <w:t xml:space="preserve">alternative. With a skin-only background the composite instead gave AUC</w:t>
      </w:r>
      <w:r>
        <w:t xml:space="preserve"> </w:t>
      </w:r>
      <m:oMath>
        <m:r>
          <m:t>0.41</m:t>
        </m:r>
      </m:oMath>
      <w:r>
        <w:t xml:space="preserve"> </w:t>
      </w:r>
      <w:r>
        <w:t xml:space="preserve">(Bartonella cross-mapping); see text.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modex infection vs control (PRJNA692647), body-site-matched background: group medians and ROC-AUC for the one-sided Demodex&gt;control alternative. With a skin-only background the composite instead gave AUC 0.41 (Bartonella cross-mapping); see text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(dem)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(ctl)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 (dem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ctl)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mite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Snodgrassella alvi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Bacillus oleronius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C. kroppenstedtii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7.3e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8.7e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Bartonella quintana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4.6e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7.2e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</w:tbl>
    <w:bookmarkEnd w:id="33"/>
    <w:p>
      <w:pPr>
        <w:pStyle w:val="CaptionedFigure"/>
      </w:pPr>
      <w:r>
        <w:drawing>
          <wp:inline>
            <wp:extent cx="2933700" cy="280372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results/fig_roc_validation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0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 for the composite mite index on the</w:t>
      </w:r>
      <w:r>
        <w:t xml:space="preserve"> </w:t>
      </w:r>
      <w:r>
        <w:rPr>
          <w:iCs/>
          <w:i/>
        </w:rPr>
        <w:t xml:space="preserve">Demodex</w:t>
      </w:r>
      <w:r>
        <w:t xml:space="preserve">-versus-control</w:t>
      </w:r>
      <w:r>
        <w:t xml:space="preserve"> </w:t>
      </w:r>
      <w:r>
        <w:t xml:space="preserve">cohort (PRJNA692647). With a skin-only background (naive) the composite is</w:t>
      </w:r>
      <w:r>
        <w:t xml:space="preserve"> </w:t>
      </w:r>
      <w:r>
        <w:t xml:space="preserve">anti-predictive (AUC</w:t>
      </w:r>
      <w:r>
        <w:t xml:space="preserve"> </w:t>
      </w:r>
      <m:oMath>
        <m:r>
          <m:t>0.41</m:t>
        </m:r>
      </m:oMath>
      <w:r>
        <w:t xml:space="preserve">), driven by</w:t>
      </w:r>
      <w:r>
        <w:t xml:space="preserve"> </w:t>
      </w:r>
      <w:r>
        <w:rPr>
          <w:iCs/>
          <w:i/>
        </w:rPr>
        <w:t xml:space="preserve">Bartonella</w:t>
      </w:r>
      <w:r>
        <w:t xml:space="preserve"> </w:t>
      </w:r>
      <w:r>
        <w:t xml:space="preserve">cross-mapping; with</w:t>
      </w:r>
      <w:r>
        <w:t xml:space="preserve"> </w:t>
      </w:r>
      <w:r>
        <w:t xml:space="preserve">a body-site-matched background (corrected) the same index separates infected</w:t>
      </w:r>
      <w:r>
        <w:t xml:space="preserve"> </w:t>
      </w:r>
      <w:r>
        <w:t xml:space="preserve">from control surfaces in the predicted direction (AUC</w:t>
      </w:r>
      <w:r>
        <w:t xml:space="preserve"> </w:t>
      </w:r>
      <m:oMath>
        <m:r>
          <m:t>0.66</m:t>
        </m:r>
      </m:oMath>
      <w:r>
        <w:t xml:space="preserve">). The shift is due</w:t>
      </w:r>
      <w:r>
        <w:t xml:space="preserve"> </w:t>
      </w:r>
      <w:r>
        <w:t xml:space="preserve">entirely to the negative control, not to any change in the scored taxa.</w:t>
      </w:r>
    </w:p>
    <w:p>
      <w:pPr>
        <w:pStyle w:val="BodyText"/>
      </w:pPr>
      <w:r>
        <w:t xml:space="preserve">The two regimes are shown in Fig. </w:t>
      </w:r>
      <w:hyperlink w:anchor="fig:roc">
        <w:r>
          <w:rPr>
            <w:rStyle w:val="Hyperlink"/>
          </w:rPr>
          <w:t xml:space="preserve">1</w:t>
        </w:r>
      </w:hyperlink>
      <w:r>
        <w:t xml:space="preserve">: the curve crosses from below to</w:t>
      </w:r>
      <w:r>
        <w:t xml:space="preserve"> </w:t>
      </w:r>
      <w:r>
        <w:t xml:space="preserve">above the chance diagonal once the background is matched to the body site.</w:t>
      </w:r>
    </w:p>
    <w:bookmarkEnd w:id="37"/>
    <w:bookmarkStart w:id="38" w:name="sec:charac"/>
    <w:p>
      <w:pPr>
        <w:pStyle w:val="Heading2"/>
      </w:pPr>
      <w:r>
        <w:t xml:space="preserve">Method characterisation</w:t>
      </w:r>
    </w:p>
    <w:p>
      <w:pPr>
        <w:pStyle w:val="FirstParagraph"/>
      </w:pPr>
      <w:r>
        <w:t xml:space="preserve">To bound the index’s resolution we ran a held-out control: for each panel taxon,</w:t>
      </w:r>
      <w:r>
        <w:t xml:space="preserve"> </w:t>
      </w:r>
      <w:r>
        <w:t xml:space="preserve">sensitivity is the fraction of simulated</w:t>
      </w:r>
      <w:r>
        <w:t xml:space="preserve"> </w:t>
      </w:r>
      <m:oMath>
        <m:r>
          <m:t>250</m:t>
        </m:r>
      </m:oMath>
      <w:r>
        <w:t xml:space="preserve"> bp windows over</w:t>
      </w:r>
      <w:r>
        <w:t xml:space="preserve"> </w:t>
      </w:r>
      <w:r>
        <w:rPr>
          <w:iCs/>
          <w:i/>
        </w:rPr>
        <w:t xml:space="preserve">held-out</w:t>
      </w:r>
      <w:r>
        <w:t xml:space="preserve"> </w:t>
      </w:r>
      <w:r>
        <w:t xml:space="preserve">same-taxon 16S references (accessions beyond the build set) detected under the</w:t>
      </w:r>
      <w:r>
        <w:t xml:space="preserve"> </w:t>
      </w:r>
      <w:r>
        <w:t xml:space="preserve">two-hit rule, and specificity is the same applied to congeneric/confamilial</w:t>
      </w:r>
      <w:r>
        <w:t xml:space="preserve"> </w:t>
      </w:r>
      <w:r>
        <w:t xml:space="preserve">challengers that must not be called. Sensitivity was high (</w:t>
      </w:r>
      <m:oMath>
        <m:r>
          <m:t>0.74</m:t>
        </m:r>
      </m:oMath>
      <w:r>
        <w:t xml:space="preserve">–</w:t>
      </w:r>
      <m:oMath>
        <m:r>
          <m:t>0.98</m:t>
        </m:r>
      </m:oMath>
      <w:r>
        <w:t xml:space="preserve">), and</w:t>
      </w:r>
      <w:r>
        <w:t xml:space="preserve"> </w:t>
      </w:r>
      <w:r>
        <w:t xml:space="preserve">the panels were clean against distant relatives (</w:t>
      </w:r>
      <m:oMath>
        <m:r>
          <m:t>0.00</m:t>
        </m:r>
      </m:oMath>
      <w:r>
        <w:t xml:space="preserve"> </w:t>
      </w:r>
      <w:r>
        <w:t xml:space="preserve">for, e.g.,</w:t>
      </w:r>
      <w:r>
        <w:t xml:space="preserve"> </w:t>
      </w:r>
      <w:r>
        <w:rPr>
          <w:iCs/>
          <w:i/>
        </w:rPr>
        <w:t xml:space="preserve">Neisseria gonorrhoeae</w:t>
      </w:r>
      <w:r>
        <w:t xml:space="preserve">,</w:t>
      </w:r>
      <w:r>
        <w:t xml:space="preserve"> </w:t>
      </w:r>
      <w:r>
        <w:rPr>
          <w:iCs/>
          <w:i/>
        </w:rPr>
        <w:t xml:space="preserve">Bacillus subtilis</w:t>
      </w:r>
      <w:r>
        <w:t xml:space="preserve">,</w:t>
      </w:r>
      <w:r>
        <w:t xml:space="preserve"> </w:t>
      </w:r>
      <w:r>
        <w:rPr>
          <w:iCs/>
          <w:i/>
        </w:rPr>
        <w:t xml:space="preserve">C. acnes</w:t>
      </w:r>
      <w:r>
        <w:t xml:space="preserve">,</w:t>
      </w:r>
      <w:r>
        <w:t xml:space="preserve"> </w:t>
      </w:r>
      <w:r>
        <w:rPr>
          <w:iCs/>
          <w:i/>
        </w:rPr>
        <w:t xml:space="preserve">Brucella abortus</w:t>
      </w:r>
      <w:r>
        <w:t xml:space="preserve">). However, close congeners cross-reacted</w:t>
      </w:r>
      <w:r>
        <w:t xml:space="preserve"> </w:t>
      </w:r>
      <w:r>
        <w:t xml:space="preserve">(</w:t>
      </w:r>
      <m:oMath>
        <m:r>
          <m:t>0.43</m:t>
        </m:r>
      </m:oMath>
      <w:r>
        <w:t xml:space="preserve">–</w:t>
      </w:r>
      <m:oMath>
        <m:r>
          <m:t>0.67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Kingella</w:t>
      </w:r>
      <w:r>
        <w:t xml:space="preserve">,</w:t>
      </w:r>
      <w:r>
        <w:t xml:space="preserve"> </w:t>
      </w:r>
      <w:r>
        <w:rPr>
          <w:iCs/>
          <w:i/>
        </w:rPr>
        <w:t xml:space="preserve">Heyndrickxia</w:t>
      </w:r>
      <w:r>
        <w:t xml:space="preserve">,</w:t>
      </w:r>
      <w:r>
        <w:t xml:space="preserve"> </w:t>
      </w:r>
      <w:r>
        <w:rPr>
          <w:iCs/>
          <w:i/>
        </w:rPr>
        <w:t xml:space="preserve">C. diphtheriae</w:t>
      </w:r>
      <w:r>
        <w:t xml:space="preserve">, and</w:t>
      </w:r>
      <w:r>
        <w:t xml:space="preserve"> </w:t>
      </w:r>
      <w:r>
        <w:rPr>
          <w:iCs/>
          <w:i/>
        </w:rPr>
        <w:t xml:space="preserve">B. henselae</w:t>
      </w:r>
      <w:r>
        <w:t xml:space="preserve">), so the index resolves at</w:t>
      </w:r>
      <w:r>
        <w:t xml:space="preserve"> </w:t>
      </w:r>
      <w:r>
        <w:t xml:space="preserve">roughly genus level. Although the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panel read clean against the single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reference used here, the ASV analysis (Sec. </w:t>
      </w:r>
      <w:hyperlink w:anchor="sec:asv">
        <w:r>
          <w:rPr>
            <w:rStyle w:val="Hyperlink"/>
          </w:rPr>
          <w:t xml:space="preserve">3.5</w:t>
        </w:r>
      </w:hyperlink>
      <w:r>
        <w:t xml:space="preserve">)</w:t>
      </w:r>
      <w:r>
        <w:t xml:space="preserve"> </w:t>
      </w:r>
      <w:r>
        <w:t xml:space="preserve">shows this held-out control was too thin: against the diverse commensal</w:t>
      </w:r>
      <w:r>
        <w:t xml:space="preserve"> </w:t>
      </w:r>
      <w:r>
        <w:t xml:space="preserve">Neisseriaceae actually present at the ocular surface, the panel cross-maps</w:t>
      </w:r>
      <w:r>
        <w:t xml:space="preserve"> </w:t>
      </w:r>
      <w:r>
        <w:t xml:space="preserve">freely—a reminder that specificity bounded by a handful of distant challengers</w:t>
      </w:r>
      <w:r>
        <w:t xml:space="preserve"> </w:t>
      </w:r>
      <w:r>
        <w:t xml:space="preserve">can badly overstate real-world specificity.</w:t>
      </w:r>
    </w:p>
    <w:bookmarkEnd w:id="38"/>
    <w:bookmarkStart w:id="39" w:name="sec:asv"/>
    <w:p>
      <w:pPr>
        <w:pStyle w:val="Heading2"/>
      </w:pPr>
      <w:r>
        <w:t xml:space="preserve">ASV resolution overturns the marker attribution</w:t>
      </w:r>
    </w:p>
    <w:p>
      <w:pPr>
        <w:pStyle w:val="FirstParagraph"/>
      </w:pPr>
      <w:r>
        <w:t xml:space="preserve">Denoising PRJNA692647 gave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551</m:t>
        </m:r>
      </m:oMath>
      <w:r>
        <w:t xml:space="preserve"> </w:t>
      </w:r>
      <w:r>
        <w:t xml:space="preserve">ASVs (</w:t>
      </w:r>
      <m:oMath>
        <m:r>
          <m:t>97.4</m:t>
        </m:r>
        <m:r>
          <m:rPr>
            <m:sty m:val="p"/>
          </m:rPr>
          <m:t>%</m:t>
        </m:r>
      </m:oMath>
      <w:r>
        <w:t xml:space="preserve"> </w:t>
      </w:r>
      <w:r>
        <w:t xml:space="preserve">of reads retained,</w:t>
      </w:r>
      <w:r>
        <w:t xml:space="preserve"> </w:t>
      </w:r>
      <m:oMath>
        <m:r>
          <m:rPr>
            <m:sty m:val="p"/>
          </m:rPr>
          <m:t>∼</m:t>
        </m:r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of pairs merged, length mode</w:t>
      </w:r>
      <w:r>
        <w:t xml:space="preserve"> </w:t>
      </w:r>
      <m:oMath>
        <m:r>
          <m:t>253</m:t>
        </m:r>
      </m:oMath>
      <w:r>
        <w:t xml:space="preserve"> bp). The closed-reference lead did not</w:t>
      </w:r>
      <w:r>
        <w:t xml:space="preserve"> </w:t>
      </w:r>
      <w:r>
        <w:t xml:space="preserve">survive.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ASV is classified as</w:t>
      </w:r>
      <w:r>
        <w:t xml:space="preserve"> </w:t>
      </w:r>
      <w:r>
        <w:rPr>
          <w:iCs/>
          <w:i/>
        </w:rPr>
        <w:t xml:space="preserve">Snodgrassella</w:t>
      </w:r>
      <w:r>
        <w:t xml:space="preserve">, although SILVA</w:t>
      </w:r>
      <w:r>
        <w:t xml:space="preserve"> </w:t>
      </w:r>
      <w:r>
        <w:t xml:space="preserve">v138.1 contains the genus (</w:t>
      </w:r>
      <m:oMath>
        <m:r>
          <m:t>25</m:t>
        </m:r>
      </m:oMath>
      <w:r>
        <w:t xml:space="preserve"> </w:t>
      </w:r>
      <w:r>
        <w:t xml:space="preserve">references) and Neisseriaceae (</w:t>
      </w:r>
      <m:oMath>
        <m:r>
          <m:t>1</m:t>
        </m:r>
        <m:r>
          <m:rPr>
            <m:sty m:val="p"/>
          </m:rPr>
          <m:t>,</m:t>
        </m:r>
        <m:r>
          <m:t>795</m:t>
        </m:r>
      </m:oMath>
      <w:r>
        <w:t xml:space="preserve">), so this</w:t>
      </w:r>
      <w:r>
        <w:t xml:space="preserve"> </w:t>
      </w:r>
      <w:r>
        <w:t xml:space="preserve">is genuine absence rather than a reference gap. Applying our own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diagnostic</w:t>
      </w:r>
      <w:r>
        <w:t xml:space="preserve"> </w:t>
      </w:r>
      <m:oMath>
        <m:r>
          <m:t>k</m:t>
        </m:r>
      </m:oMath>
      <w:r>
        <w:t xml:space="preserve">-mer panel directly to the ASVs flags only</w:t>
      </w:r>
      <w:r>
        <w:t xml:space="preserve"> </w:t>
      </w:r>
      <w:r>
        <w:rPr>
          <w:iCs/>
          <w:i/>
        </w:rPr>
        <w:t xml:space="preserve">non-Snodgrassella</w:t>
      </w:r>
      <w:r>
        <w:t xml:space="preserve"> </w:t>
      </w:r>
      <w:r>
        <w:t xml:space="preserve">Neisseriaceae—</w:t>
      </w:r>
      <w:r>
        <w:rPr>
          <w:iCs/>
          <w:i/>
        </w:rPr>
        <w:t xml:space="preserve">Neisseria</w:t>
      </w:r>
      <w:r>
        <w:t xml:space="preserve">,</w:t>
      </w:r>
      <w:r>
        <w:t xml:space="preserve"> </w:t>
      </w:r>
      <w:r>
        <w:rPr>
          <w:iCs/>
          <w:i/>
        </w:rPr>
        <w:t xml:space="preserve">Eikenella</w:t>
      </w:r>
      <w:r>
        <w:t xml:space="preserve">,</w:t>
      </w:r>
      <w:r>
        <w:t xml:space="preserve"> </w:t>
      </w:r>
      <w:r>
        <w:rPr>
          <w:iCs/>
          <w:i/>
        </w:rPr>
        <w:t xml:space="preserve">Uruburuella</w:t>
      </w:r>
      <w:r>
        <w:t xml:space="preserve">,</w:t>
      </w:r>
      <w:r>
        <w:t xml:space="preserve"> </w:t>
      </w:r>
      <w:r>
        <w:rPr>
          <w:iCs/>
          <w:i/>
        </w:rPr>
        <w:t xml:space="preserve">Bergeriella</w:t>
      </w:r>
      <w:r>
        <w:t xml:space="preserve">—plus</w:t>
      </w:r>
      <w:r>
        <w:t xml:space="preserve"> </w:t>
      </w:r>
      <w:r>
        <w:rPr>
          <w:iCs/>
          <w:i/>
        </w:rPr>
        <w:t xml:space="preserve">Methylotenera</w:t>
      </w:r>
      <w:r>
        <w:t xml:space="preserve">/</w:t>
      </w:r>
      <w:r>
        <w:rPr>
          <w:iCs/>
          <w:i/>
        </w:rPr>
        <w:t xml:space="preserve">Psychrobacter</w:t>
      </w:r>
      <w:r>
        <w:t xml:space="preserve">; the</w:t>
      </w:r>
      <w:r>
        <w:t xml:space="preserve"> </w:t>
      </w:r>
      <w:r>
        <w:t xml:space="preserve">top-hit ASVs are</w:t>
      </w:r>
      <w:r>
        <w:t xml:space="preserve"> </w:t>
      </w:r>
      <m:oMath>
        <m:r>
          <m:t>92.5</m:t>
        </m:r>
      </m:oMath>
      <w:r>
        <w:t xml:space="preserve">–</w:t>
      </w:r>
      <m:oMath>
        <m:r>
          <m:t>94.5</m:t>
        </m:r>
        <m:r>
          <m:rPr>
            <m:sty m:val="p"/>
          </m:rPr>
          <m:t>%</m:t>
        </m:r>
      </m:oMath>
      <w:r>
        <w:t xml:space="preserve"> </w:t>
      </w:r>
      <w:r>
        <w:t xml:space="preserve">identical to the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16S reference over</w:t>
      </w:r>
      <w:r>
        <w:t xml:space="preserve"> </w:t>
      </w:r>
      <w:r>
        <w:t xml:space="preserve">V4, an inter-genus distance, not the</w:t>
      </w:r>
      <w:r>
        <w:t xml:space="preserve"> </w:t>
      </w:r>
      <m:oMath>
        <m:r>
          <m:rPr>
            <m:sty m:val="p"/>
          </m:rPr>
          <m:t>≈</m:t>
        </m:r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expected for true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.</w:t>
      </w:r>
      <w:r>
        <w:t xml:space="preserve"> </w:t>
      </w:r>
      <w:r>
        <w:t xml:space="preserve">The Stage-2</w:t>
      </w:r>
      <w:r>
        <w:t xml:space="preserve"> </w:t>
      </w:r>
      <w:r>
        <w:t xml:space="preserve">“</w:t>
      </w:r>
      <w:r>
        <w:rPr>
          <w:iCs/>
          <w:i/>
        </w:rPr>
        <w:t xml:space="preserve">Snodgrassella alvi</w:t>
      </w:r>
      <w:r>
        <w:t xml:space="preserve">”</w:t>
      </w:r>
      <w:r>
        <w:t xml:space="preserve"> </w:t>
      </w:r>
      <w:r>
        <w:t xml:space="preserve">signal was therefore conserved-region cross-mapping onto</w:t>
      </w:r>
      <w:r>
        <w:t xml:space="preserve"> </w:t>
      </w:r>
      <w:r>
        <w:t xml:space="preserve">abundant commensal Neisseriaceae. The same exercise shows the</w:t>
      </w:r>
      <w:r>
        <w:t xml:space="preserve"> </w:t>
      </w:r>
      <w:r>
        <w:rPr>
          <w:iCs/>
          <w:i/>
        </w:rPr>
        <w:t xml:space="preserve">Bacillus</w:t>
      </w:r>
      <w:r>
        <w:t xml:space="preserve"> </w:t>
      </w:r>
      <w:r>
        <w:t xml:space="preserve">panel cross-maps across Bacillota (</w:t>
      </w:r>
      <w:r>
        <w:rPr>
          <w:iCs/>
          <w:i/>
        </w:rPr>
        <w:t xml:space="preserve">Anoxybacillus</w:t>
      </w:r>
      <w:r>
        <w:t xml:space="preserve">,</w:t>
      </w:r>
      <w:r>
        <w:t xml:space="preserve"> </w:t>
      </w:r>
      <w:r>
        <w:rPr>
          <w:iCs/>
          <w:i/>
        </w:rPr>
        <w:t xml:space="preserve">Enterococcus</w:t>
      </w:r>
      <w:r>
        <w:t xml:space="preserve">,</w:t>
      </w:r>
      <w:r>
        <w:t xml:space="preserve"> </w:t>
      </w:r>
      <w:r>
        <w:rPr>
          <w:iCs/>
          <w:i/>
        </w:rPr>
        <w:t xml:space="preserve">Geobacillus</w:t>
      </w:r>
      <w:r>
        <w:t xml:space="preserve">,</w:t>
      </w:r>
      <w:r>
        <w:t xml:space="preserve"> </w:t>
      </w:r>
      <w:r>
        <w:rPr>
          <w:iCs/>
          <w:i/>
        </w:rPr>
        <w:t xml:space="preserve">Oscillibacter</w:t>
      </w:r>
      <w:r>
        <w:t xml:space="preserve">) and the</w:t>
      </w:r>
      <w:r>
        <w:t xml:space="preserve"> </w:t>
      </w:r>
      <w:r>
        <w:rPr>
          <w:iCs/>
          <w:i/>
        </w:rPr>
        <w:t xml:space="preserve">Bartonella</w:t>
      </w:r>
      <w:r>
        <w:t xml:space="preserve"> </w:t>
      </w:r>
      <w:r>
        <w:t xml:space="preserve">panel</w:t>
      </w:r>
      <w:r>
        <w:t xml:space="preserve"> </w:t>
      </w:r>
      <w:r>
        <w:t xml:space="preserve">onto Rhizobiaceae—confirming, at sequence level, the artefacts that background</w:t>
      </w:r>
      <w:r>
        <w:t xml:space="preserve"> </w:t>
      </w:r>
      <w:r>
        <w:t xml:space="preserve">subtraction only partly contained.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survive is sharper than the original claim: a single exact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ASV (the most abundant Neisseriaceae variant,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367</m:t>
        </m:r>
      </m:oMath>
      <w:r>
        <w:t xml:space="preserve"> </w:t>
      </w:r>
      <w:r>
        <w:t xml:space="preserve">reads)</w:t>
      </w:r>
      <w:r>
        <w:t xml:space="preserve"> </w:t>
      </w:r>
      <w:r>
        <w:t xml:space="preserve">is enriched on</w:t>
      </w:r>
      <w:r>
        <w:t xml:space="preserve"> </w:t>
      </w:r>
      <w:r>
        <w:rPr>
          <w:iCs/>
          <w:i/>
        </w:rPr>
        <w:t xml:space="preserve">Demodex</w:t>
      </w:r>
      <w:r>
        <w:t xml:space="preserve">-infected surfaces with AUC</w:t>
      </w:r>
      <w:r>
        <w:t xml:space="preserve"> </w:t>
      </w:r>
      <m:oMath>
        <m:r>
          <m:t>0.70</m:t>
        </m:r>
      </m:oMath>
      <w:r>
        <w:t xml:space="preserve"> </w:t>
      </w:r>
      <w:r>
        <w:t xml:space="preserve">(nominal 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0.032</m:t>
        </m:r>
      </m:oMath>
      <w:r>
        <w:t xml:space="preserve">, uncorrected)—the strongest exact-sequence separation we observed.</w:t>
      </w:r>
      <w:r>
        <w:t xml:space="preserve"> </w:t>
      </w:r>
      <w:r>
        <w:t xml:space="preserve">The best genuine Bacillaceae variant is weak (AUC</w:t>
      </w:r>
      <w:r>
        <w:t xml:space="preserve"> </w:t>
      </w:r>
      <m:oMath>
        <m:r>
          <m:t>0.64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</m:t>
        </m:r>
      </m:oMath>
      <w:r>
        <w:t xml:space="preserve">). The ocular</w:t>
      </w:r>
      <w:r>
        <w:t xml:space="preserve"> </w:t>
      </w:r>
      <w:r>
        <w:rPr>
          <w:iCs/>
          <w:i/>
        </w:rPr>
        <w:t xml:space="preserve">Demodex</w:t>
      </w:r>
      <w:r>
        <w:t xml:space="preserve">-associated signal thus relocates from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Neisseria</w:t>
      </w:r>
      <w:r>
        <w:t xml:space="preserve">.</w:t>
      </w:r>
      <w:r>
        <w:t xml:space="preserve"> </w:t>
      </w:r>
      <w:r>
        <w:t xml:space="preserve">Notably this does not corroborate the facial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observation of</w:t>
      </w:r>
      <w:r>
        <w:t xml:space="preserve"> </w:t>
      </w:r>
      <w:r>
        <w:t xml:space="preserve">, consistent with the difference in body site, though we caution</w:t>
      </w:r>
      <w:r>
        <w:t xml:space="preserve"> </w:t>
      </w:r>
      <w:r>
        <w:t xml:space="preserve">that both are single-sample/single-cohort observations.</w:t>
      </w:r>
    </w:p>
    <w:bookmarkEnd w:id="39"/>
    <w:bookmarkEnd w:id="40"/>
    <w:bookmarkStart w:id="4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Three conclusions follow. First, the central methodological lesson: a</w:t>
      </w:r>
      <w:r>
        <w:t xml:space="preserve"> </w:t>
      </w:r>
      <w:r>
        <w:t xml:space="preserve">closed-reference</w:t>
      </w:r>
      <w:r>
        <w:t xml:space="preserve"> </w:t>
      </w:r>
      <m:oMath>
        <m:r>
          <m:t>k</m:t>
        </m:r>
      </m:oMath>
      <w:r>
        <w:t xml:space="preserve">-mer (or any marker-counting) index on short 16S reads is not</w:t>
      </w:r>
      <w:r>
        <w:t xml:space="preserve"> </w:t>
      </w:r>
      <w:r>
        <w:t xml:space="preserve">species-specific, and can</w:t>
      </w:r>
      <w:r>
        <w:t xml:space="preserve"> </w:t>
      </w:r>
      <w:r>
        <w:rPr>
          <w:iCs/>
          <w:i/>
        </w:rPr>
        <w:t xml:space="preserve">manufacture</w:t>
      </w:r>
      <w:r>
        <w:t xml:space="preserve"> </w:t>
      </w:r>
      <w:r>
        <w:t xml:space="preserve">a plausible genus-level signal. Our</w:t>
      </w:r>
      <w:r>
        <w:t xml:space="preserve"> </w:t>
      </w:r>
      <w:r>
        <w:t xml:space="preserve">composite appeared to separate</w:t>
      </w:r>
      <w:r>
        <w:t xml:space="preserve"> </w:t>
      </w:r>
      <w:r>
        <w:rPr>
          <w:iCs/>
          <w:i/>
        </w:rPr>
        <w:t xml:space="preserve">Demodex</w:t>
      </w:r>
      <w:r>
        <w:t xml:space="preserve">-infected from control surfaces</w:t>
      </w:r>
      <w:r>
        <w:t xml:space="preserve"> </w:t>
      </w:r>
      <w:r>
        <w:t xml:space="preserve">(AUC</w:t>
      </w:r>
      <w:r>
        <w:t xml:space="preserve"> </w:t>
      </w:r>
      <m:oMath>
        <m:r>
          <m:t>0.66</m:t>
        </m:r>
      </m:oMath>
      <w:r>
        <w:t xml:space="preserve">), apparently carried by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; yet at exact-sequence resolution no</w:t>
      </w:r>
      <w:r>
        <w:t xml:space="preserve"> </w:t>
      </w:r>
      <w:r>
        <w:rPr>
          <w:iCs/>
          <w:i/>
        </w:rPr>
        <w:t xml:space="preserve">Snodgrassella</w:t>
      </w:r>
      <w:r>
        <w:t xml:space="preserve"> </w:t>
      </w:r>
      <w:r>
        <w:t xml:space="preserve">is present at all, and the</w:t>
      </w:r>
      <w:r>
        <w:t xml:space="preserve"> </w:t>
      </w:r>
      <w:r>
        <w:t xml:space="preserve">“</w:t>
      </w:r>
      <w:r>
        <w:rPr>
          <w:iCs/>
          <w:i/>
        </w:rPr>
        <w:t xml:space="preserve">Snodgrassella alvi</w:t>
      </w:r>
      <w:r>
        <w:t xml:space="preserve">”</w:t>
      </w:r>
      <w:r>
        <w:t xml:space="preserve"> </w:t>
      </w:r>
      <w:r>
        <w:t xml:space="preserve">reads are</w:t>
      </w:r>
      <w:r>
        <w:t xml:space="preserve"> </w:t>
      </w:r>
      <w:r>
        <w:t xml:space="preserve">conserved-region cross-mapping onto commensal Neisseriaceae (</w:t>
      </w:r>
      <m:oMath>
        <m:r>
          <m:t>92</m:t>
        </m:r>
      </m:oMath>
      <w:r>
        <w:t xml:space="preserve">–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identity</w:t>
      </w:r>
      <w:r>
        <w:t xml:space="preserve"> </w:t>
      </w:r>
      <w:r>
        <w:t xml:space="preserve">to the</w:t>
      </w:r>
      <w:r>
        <w:t xml:space="preserve"> </w:t>
      </w:r>
      <w:r>
        <w:rPr>
          <w:iCs/>
          <w:i/>
        </w:rPr>
        <w:t xml:space="preserve">Snodgrassella alvi</w:t>
      </w:r>
      <w:r>
        <w:t xml:space="preserve"> </w:t>
      </w:r>
      <w:r>
        <w:t xml:space="preserve">reference). Background subtraction and a held-out specificity</w:t>
      </w:r>
      <w:r>
        <w:t xml:space="preserve"> </w:t>
      </w:r>
      <w:r>
        <w:t xml:space="preserve">control—both of which we applied—were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sufficient to prevent this;</w:t>
      </w:r>
      <w:r>
        <w:t xml:space="preserve"> </w:t>
      </w:r>
      <w:r>
        <w:t xml:space="preserve">only ASV-level denoising exposed it.</w:t>
      </w:r>
      <w:r>
        <w:t xml:space="preserve"> </w:t>
      </w:r>
      <w:r>
        <w:rPr>
          <w:iCs/>
          <w:i/>
        </w:rPr>
        <w:t xml:space="preserve">Demodex</w:t>
      </w:r>
      <w:r>
        <w:t xml:space="preserve">–microbiome association studies that</w:t>
      </w:r>
      <w:r>
        <w:t xml:space="preserve"> </w:t>
      </w:r>
      <w:r>
        <w:t xml:space="preserve">rely on closed-reference assignment without exact-sequence (ASV/oligotyping)</w:t>
      </w:r>
      <w:r>
        <w:t xml:space="preserve"> </w:t>
      </w:r>
      <w:r>
        <w:t xml:space="preserve">resolution are therefore at material risk of false species-level findings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Second, the surface-proxy idea fails on its own terms regardless: the index does</w:t>
      </w:r>
      <w:r>
        <w:t xml:space="preserve"> </w:t>
      </w:r>
      <w:r>
        <w:t xml:space="preserve">not track antiparasitic treatment, and even the (artefactual) group signal was</w:t>
      </w:r>
      <w:r>
        <w:t xml:space="preserve"> </w:t>
      </w:r>
      <w:r>
        <w:t xml:space="preserve">borderline. A surface microbiome cannot grade an individual’s mite burden;</w:t>
      </w:r>
      <w:r>
        <w:t xml:space="preserve"> </w:t>
      </w:r>
      <w:r>
        <w:t xml:space="preserve">grading should rest on direct mite quantification (the standardised skin-surface</w:t>
      </w:r>
      <w:r>
        <w:t xml:space="preserve"> </w:t>
      </w:r>
      <w:r>
        <w:t xml:space="preserve">biopsy).</w:t>
      </w:r>
    </w:p>
    <w:p>
      <w:pPr>
        <w:pStyle w:val="BodyText"/>
      </w:pPr>
      <w:r>
        <w:t xml:space="preserve">Third, what survives exact-sequence analysis is a sharper, relocated lead: a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ASV is enriched on</w:t>
      </w:r>
      <w:r>
        <w:t xml:space="preserve"> </w:t>
      </w:r>
      <w:r>
        <w:rPr>
          <w:iCs/>
          <w:i/>
        </w:rPr>
        <w:t xml:space="preserve">Demodex</w:t>
      </w:r>
      <w:r>
        <w:t xml:space="preserve">-infected ocular surfaces</w:t>
      </w:r>
      <w:r>
        <w:t xml:space="preserve"> </w:t>
      </w:r>
      <w:r>
        <w:t xml:space="preserve">(AUC</w:t>
      </w:r>
      <w:r>
        <w:t xml:space="preserve"> </w:t>
      </w:r>
      <m:oMath>
        <m:r>
          <m:t>0.70</m:t>
        </m:r>
      </m:oMath>
      <w:r>
        <w:t xml:space="preserve">, nominal 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0.032</m:t>
        </m:r>
      </m:oMath>
      <w:r>
        <w:t xml:space="preserve">). Because this comparison is post-hoc,</w:t>
      </w:r>
      <w:r>
        <w:t xml:space="preserve"> </w:t>
      </w:r>
      <w:r>
        <w:t xml:space="preserve">uncorrected, and drawn from one cohort, we present it not as a confirmed</w:t>
      </w:r>
      <w:r>
        <w:t xml:space="preserve"> </w:t>
      </w:r>
      <w:r>
        <w:t xml:space="preserve">association but as a hypothesis-generating, exact-sequence lead that we are not</w:t>
      </w:r>
      <w:r>
        <w:t xml:space="preserve"> </w:t>
      </w:r>
      <w:r>
        <w:t xml:space="preserve">aware of being reported previously. A curated, ASV-based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assay</w:t>
      </w:r>
      <w:r>
        <w:t xml:space="preserve"> </w:t>
      </w:r>
      <w:r>
        <w:t xml:space="preserve">with follicle-targeted sampling is the experiment this analysis now recommends.</w:t>
      </w:r>
    </w:p>
    <w:p>
      <w:pPr>
        <w:pStyle w:val="BodyText"/>
      </w:pPr>
      <w:r>
        <w:t xml:space="preserve">The broader moral mirrors null-model design in molecular evolution: an instrument</w:t>
      </w:r>
      <w:r>
        <w:t xml:space="preserve"> </w:t>
      </w:r>
      <w:r>
        <w:t xml:space="preserve">must encode the structure it claims to measure, and its specificity must be</w:t>
      </w:r>
      <w:r>
        <w:t xml:space="preserve"> </w:t>
      </w:r>
      <w:r>
        <w:t xml:space="preserve">tested against the diversity actually present, not a handful of distant</w:t>
      </w:r>
      <w:r>
        <w:t xml:space="preserve"> </w:t>
      </w:r>
      <w:r>
        <w:t xml:space="preserve">challengers. A closed-reference count on short amplicons is only as trustworthy as</w:t>
      </w:r>
      <w:r>
        <w:t xml:space="preserve"> </w:t>
      </w:r>
      <w:r>
        <w:t xml:space="preserve">the exact-sequence analysis that audits it.</w:t>
      </w:r>
    </w:p>
    <w:bookmarkStart w:id="41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The ASV re-analysis (Sec. </w:t>
      </w:r>
      <w:hyperlink w:anchor="sec:asv">
        <w:r>
          <w:rPr>
            <w:rStyle w:val="Hyperlink"/>
          </w:rPr>
          <w:t xml:space="preserve">3.5</w:t>
        </w:r>
      </w:hyperlink>
      <w:r>
        <w:t xml:space="preserve">) resolves the</w:t>
      </w:r>
      <w:r>
        <w:t xml:space="preserve"> </w:t>
      </w:r>
      <m:oMath>
        <m:r>
          <m:t>k</m:t>
        </m:r>
      </m:oMath>
      <w:r>
        <w:t xml:space="preserve">-mer index’s genus-level ambiguity but carries its own caveats: the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lead rests on a single cohort (</w:t>
      </w:r>
      <m:oMath>
        <m:r>
          <m:t>14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17</m:t>
        </m:r>
      </m:oMath>
      <w:r>
        <w:t xml:space="preserve">) and one dominant</w:t>
      </w:r>
      <w:r>
        <w:t xml:space="preserve"> </w:t>
      </w:r>
      <w:r>
        <w:t xml:space="preserve">ASV, and the group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0.032</m:t>
        </m:r>
      </m:oMath>
      <w:r>
        <w:t xml:space="preserve"> </w:t>
      </w:r>
      <w:r>
        <w:t xml:space="preserve">is nominal (uncorrected for the ASVs screened). The</w:t>
      </w:r>
      <w:r>
        <w:t xml:space="preserve"> </w:t>
      </w:r>
      <w:r>
        <w:t xml:space="preserve">treatment arm is small 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pairs), and the validation cohort is</w:t>
      </w:r>
      <w:r>
        <w:t xml:space="preserve"> </w:t>
      </w:r>
      <w:r>
        <w:rPr>
          <w:iCs/>
          <w:i/>
        </w:rPr>
        <w:t xml:space="preserve">ocular</w:t>
      </w:r>
      <w:r>
        <w:t xml:space="preserve"> </w:t>
      </w:r>
      <w:r>
        <w:t xml:space="preserve">rather than facial, so the</w:t>
      </w:r>
      <w:r>
        <w:t xml:space="preserve"> </w:t>
      </w:r>
      <w:r>
        <w:rPr>
          <w:iCs/>
          <w:i/>
        </w:rPr>
        <w:t xml:space="preserve">Neisseria</w:t>
      </w:r>
      <w:r>
        <w:t xml:space="preserve"> </w:t>
      </w:r>
      <w:r>
        <w:t xml:space="preserve">association may be specific to the</w:t>
      </w:r>
      <w:r>
        <w:t xml:space="preserve"> </w:t>
      </w:r>
      <w:r>
        <w:t xml:space="preserve">ocular surface. The facial multi-omic cohort that would adjudicate this</w:t>
      </w:r>
      <w:r>
        <w:t xml:space="preserve"> </w:t>
      </w:r>
      <w:r>
        <w:t xml:space="preserve">(PRJEB82826,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96</m:t>
        </m:r>
      </m:oMath>
      <w:r>
        <w:t xml:space="preserve">, cyanoacrylate follicle sampling; the cohort of</w:t>
      </w:r>
      <w:r>
        <w:t xml:space="preserve"> </w:t>
      </w:r>
      <w:r>
        <w:t xml:space="preserve">) carries no infestation/clinical labels in its public records,</w:t>
      </w:r>
      <w:r>
        <w:t xml:space="preserve"> </w:t>
      </w:r>
      <w:r>
        <w:t xml:space="preserve">so a labelled, ASV-level facial validation is blocked pending the authors’ sample</w:t>
      </w:r>
      <w:r>
        <w:t xml:space="preserve"> </w:t>
      </w:r>
      <w:r>
        <w:t xml:space="preserve">key—the natural next step once obtained. Finally, taxonomy rests on SILVA</w:t>
      </w:r>
      <w:r>
        <w:t xml:space="preserve"> </w:t>
      </w:r>
      <w:r>
        <w:t xml:space="preserve">v138.1; a different reference could rename, though not resurrect, the absent</w:t>
      </w:r>
      <w:r>
        <w:t xml:space="preserve"> </w:t>
      </w:r>
      <w:r>
        <w:rPr>
          <w:iCs/>
          <w:i/>
        </w:rPr>
        <w:t xml:space="preserve">Snodgrassella</w:t>
      </w:r>
      <w:r>
        <w:t xml:space="preserve">.</w:t>
      </w:r>
    </w:p>
    <w:bookmarkEnd w:id="41"/>
    <w:bookmarkStart w:id="42" w:name="reproducibility."/>
    <w:p>
      <w:pPr>
        <w:pStyle w:val="Heading4"/>
      </w:pPr>
      <w:r>
        <w:t xml:space="preserve">Reproducibility.</w:t>
      </w:r>
    </w:p>
    <w:p>
      <w:pPr>
        <w:pStyle w:val="FirstParagraph"/>
      </w:pPr>
      <w:r>
        <w:t xml:space="preserve">The discovery pipeline (audit, panel construction,</w:t>
      </w:r>
      <w:r>
        <w:t xml:space="preserve"> </w:t>
      </w:r>
      <w:r>
        <w:t xml:space="preserve">index, and analyses) is pure-Python with per-module offline self-tests; the</w:t>
      </w:r>
      <w:r>
        <w:t xml:space="preserve"> </w:t>
      </w:r>
      <w:r>
        <w:t xml:space="preserve">confirmatory ASV re-analysis is a documented DADA2/R workflow (Sec. </w:t>
      </w:r>
      <w:hyperlink w:anchor="sec:dada2">
        <w:r>
          <w:rPr>
            <w:rStyle w:val="Hyperlink"/>
          </w:rPr>
          <w:t xml:space="preserve">2.5</w:t>
        </w:r>
      </w:hyperlink>
      <w:r>
        <w:t xml:space="preserve">).</w:t>
      </w:r>
      <w:r>
        <w:t xml:space="preserve"> </w:t>
      </w:r>
      <w:r>
        <w:t xml:space="preserve">All networked calls are read-only and cached, and every accession, intermediate</w:t>
      </w:r>
      <w:r>
        <w:t xml:space="preserve"> </w:t>
      </w:r>
      <w:r>
        <w:t xml:space="preserve">table,</w:t>
      </w:r>
      <w:r>
        <w:t xml:space="preserve"> </w:t>
      </w:r>
      <m:oMath>
        <m:r>
          <m:t>k</m:t>
        </m:r>
      </m:oMath>
      <w:r>
        <w:t xml:space="preserve">-mer panel, and ASV output is released so that all numbers above</w:t>
      </w:r>
      <w:r>
        <w:t xml:space="preserve"> </w:t>
      </w:r>
      <w:r>
        <w:t xml:space="preserve">regenerate from a clean checkout.</w:t>
      </w:r>
    </w:p>
    <w:bookmarkEnd w:id="42"/>
    <w:bookmarkEnd w:id="43"/>
    <w:bookmarkStart w:id="50" w:name="app:repro"/>
    <w:p>
      <w:pPr>
        <w:pStyle w:val="Heading1"/>
      </w:pPr>
      <w:r>
        <w:t xml:space="preserve">Reproducibility and data access</w:t>
      </w:r>
    </w:p>
    <w:bookmarkStart w:id="44" w:name="design-goal."/>
    <w:p>
      <w:pPr>
        <w:pStyle w:val="Heading4"/>
      </w:pPr>
      <w:r>
        <w:t xml:space="preserve">Design goal.</w:t>
      </w:r>
    </w:p>
    <w:p>
      <w:pPr>
        <w:pStyle w:val="FirstParagraph"/>
      </w:pPr>
      <w:r>
        <w:t xml:space="preserve">The discovery pipeline (audit, panel, index, statistics)</w:t>
      </w:r>
      <w:r>
        <w:t xml:space="preserve"> </w:t>
      </w:r>
      <w:r>
        <w:t xml:space="preserve">runs on a stock Python interpreter with no bioinformatics toolchain: all</w:t>
      </w:r>
      <w:r>
        <w:t xml:space="preserve"> </w:t>
      </w:r>
      <w:r>
        <w:t xml:space="preserve">networking uses the standard library (</w:t>
      </w:r>
      <w:r>
        <w:rPr>
          <w:rStyle w:val="VerbatimChar"/>
        </w:rPr>
        <w:t xml:space="preserve">urllib.request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gzip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is used only for the figure, keeping it auditable</w:t>
      </w:r>
      <w:r>
        <w:t xml:space="preserve"> </w:t>
      </w:r>
      <w:r>
        <w:t xml:space="preserve">line-by-line. The confirmatory ASV step (Sec. </w:t>
      </w:r>
      <w:hyperlink w:anchor="sec:dada2">
        <w:r>
          <w:rPr>
            <w:rStyle w:val="Hyperlink"/>
          </w:rPr>
          <w:t xml:space="preserve">2.5</w:t>
        </w:r>
      </w:hyperlink>
      <w:r>
        <w:t xml:space="preserve">) deliberately</w:t>
      </w:r>
      <w:r>
        <w:t xml:space="preserve"> </w:t>
      </w:r>
      <w:r>
        <w:t xml:space="preserve">departs from this austerity: it uses the reference implementation DADA2</w:t>
      </w:r>
      <w:r>
        <w:t xml:space="preserve"> </w:t>
      </w:r>
      <w:r>
        <w:t xml:space="preserve">(Bioconductor/R) with</w:t>
      </w:r>
      <w:r>
        <w:t xml:space="preserve"> </w:t>
      </w:r>
      <w:r>
        <w:rPr>
          <w:rStyle w:val="VerbatimChar"/>
        </w:rPr>
        <w:t xml:space="preserve">cutadapt</w:t>
      </w:r>
      <w:r>
        <w:t xml:space="preserve"> </w:t>
      </w:r>
      <w:r>
        <w:t xml:space="preserve">and SILVA v138.1, precisely so that the</w:t>
      </w:r>
      <w:r>
        <w:t xml:space="preserve"> </w:t>
      </w:r>
      <w:r>
        <w:t xml:space="preserve">audit of our own positive result rests on the community-standard tool rather than</w:t>
      </w:r>
      <w:r>
        <w:t xml:space="preserve"> </w:t>
      </w:r>
      <w:r>
        <w:t xml:space="preserve">a bespoke one. The two-method contrast is the point—the lightweight index</w:t>
      </w:r>
      <w:r>
        <w:t xml:space="preserve"> </w:t>
      </w:r>
      <w:r>
        <w:t xml:space="preserve">proposes, and the gold-standard ASV pipeline disposes.</w:t>
      </w:r>
    </w:p>
    <w:bookmarkEnd w:id="44"/>
    <w:bookmarkStart w:id="45" w:name="retrieval-read-only."/>
    <w:p>
      <w:pPr>
        <w:pStyle w:val="Heading4"/>
      </w:pPr>
      <w:r>
        <w:t xml:space="preserve">Retrieval (read-only).</w:t>
      </w:r>
    </w:p>
    <w:p>
      <w:pPr>
        <w:pStyle w:val="FirstParagraph"/>
      </w:pPr>
      <w:r>
        <w:t xml:space="preserve">Dataset discovery and reference sequences come</w:t>
      </w:r>
      <w:r>
        <w:t xml:space="preserve"> </w:t>
      </w:r>
      <w:r>
        <w:t xml:space="preserve">from NCBI E-utilities (</w:t>
      </w:r>
      <w:r>
        <w:rPr>
          <w:rStyle w:val="VerbatimChar"/>
        </w:rPr>
        <w:t xml:space="preserve">esearch</w:t>
      </w:r>
      <w:r>
        <w:t xml:space="preserve">/</w:t>
      </w:r>
      <w:r>
        <w:rPr>
          <w:rStyle w:val="VerbatimChar"/>
        </w:rPr>
        <w:t xml:space="preserve">efetch</w:t>
      </w:r>
      <w:r>
        <w:t xml:space="preserve">) and per-project run</w:t>
      </w:r>
      <w:r>
        <w:t xml:space="preserve"> </w:t>
      </w:r>
      <w:r>
        <w:t xml:space="preserve">tables from the EBI ENA</w:t>
      </w:r>
      <w:r>
        <w:t xml:space="preserve"> </w:t>
      </w:r>
      <w:r>
        <w:rPr>
          <w:rStyle w:val="VerbatimChar"/>
        </w:rPr>
        <w:t xml:space="preserve">filereport</w:t>
      </w:r>
      <w:r>
        <w:t xml:space="preserve"> </w:t>
      </w:r>
      <w:r>
        <w:t xml:space="preserve">API, each fetched as a plain HTTPS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During the study window the BioProject</w:t>
      </w:r>
      <w:r>
        <w:t xml:space="preserve"> </w:t>
      </w:r>
      <w:r>
        <w:rPr>
          <w:rStyle w:val="VerbatimChar"/>
        </w:rPr>
        <w:t xml:space="preserve">esummary</w:t>
      </w:r>
      <w:r>
        <w:t xml:space="preserve"> </w:t>
      </w:r>
      <w:r>
        <w:t xml:space="preserve">endpoint</w:t>
      </w:r>
      <w:r>
        <w:t xml:space="preserve"> </w:t>
      </w:r>
      <w:r>
        <w:t xml:space="preserve">returned a server-side error, so study-level metadata were recovered from the SRA</w:t>
      </w:r>
      <w:r>
        <w:t xml:space="preserve"> </w:t>
      </w:r>
      <w:r>
        <w:t xml:space="preserve">side via</w:t>
      </w:r>
      <w:r>
        <w:t xml:space="preserve"> </w:t>
      </w:r>
      <w:r>
        <w:rPr>
          <w:rStyle w:val="VerbatimChar"/>
        </w:rPr>
        <w:t xml:space="preserve">efetch</w:t>
      </w:r>
      <w:r>
        <w:t xml:space="preserve">; the fallback is encoded in the audit script rather than</w:t>
      </w:r>
      <w:r>
        <w:t xml:space="preserve"> </w:t>
      </w:r>
      <w:r>
        <w:t xml:space="preserve">applied by hand.</w:t>
      </w:r>
    </w:p>
    <w:bookmarkEnd w:id="45"/>
    <w:bookmarkStart w:id="46" w:name="streaming-architecture."/>
    <w:p>
      <w:pPr>
        <w:pStyle w:val="Heading4"/>
      </w:pPr>
      <w:r>
        <w:t xml:space="preserve">Streaming architecture.</w:t>
      </w:r>
    </w:p>
    <w:p>
      <w:pPr>
        <w:pStyle w:val="FirstParagraph"/>
      </w:pPr>
      <w:r>
        <w:t xml:space="preserve">Sequencing reads are never downloaded to</w:t>
      </w:r>
      <w:r>
        <w:t xml:space="preserve"> </w:t>
      </w:r>
      <w:r>
        <w:t xml:space="preserve">disk. For each run, the gzipped FASTQ is opened as an HTTPS response object and</w:t>
      </w:r>
      <w:r>
        <w:t xml:space="preserve"> </w:t>
      </w:r>
      <w:r>
        <w:t xml:space="preserve">wrapped</w:t>
      </w:r>
      <w:r>
        <w:t xml:space="preserve"> </w:t>
      </w:r>
      <w:r>
        <w:rPr>
          <w:iCs/>
          <w:i/>
        </w:rPr>
        <w:t xml:space="preserve">in place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gzip.GzipFile</w:t>
      </w:r>
      <w:r>
        <w:t xml:space="preserve">, so the file is decompressed</w:t>
      </w:r>
      <w:r>
        <w:t xml:space="preserve"> </w:t>
      </w:r>
      <w:r>
        <w:t xml:space="preserve">on the fly while it streams and is consumed four lines (one read) at a time. Peak</w:t>
      </w:r>
      <w:r>
        <w:t xml:space="preserve"> </w:t>
      </w:r>
      <w:r>
        <w:t xml:space="preserve">memory is therefore a single read plus the in-memory</w:t>
      </w:r>
      <w:r>
        <w:t xml:space="preserve"> </w:t>
      </w:r>
      <m:oMath>
        <m:r>
          <m:t>k</m:t>
        </m:r>
      </m:oMath>
      <w:r>
        <w:t xml:space="preserve">-mer panel, independent</w:t>
      </w:r>
      <w:r>
        <w:t xml:space="preserve"> </w:t>
      </w:r>
      <w:r>
        <w:t xml:space="preserve">of file size, and no large local storage is required. Each run is retried up to</w:t>
      </w:r>
      <w:r>
        <w:t xml:space="preserve"> </w:t>
      </w:r>
      <w:r>
        <w:t xml:space="preserve">three times on transient network failures; runs that never succeed are reported</w:t>
      </w:r>
      <w:r>
        <w:t xml:space="preserve"> </w:t>
      </w:r>
      <w:r>
        <w:t xml:space="preserve">and skipped rather than silently dropped.</w:t>
      </w:r>
    </w:p>
    <w:bookmarkEnd w:id="46"/>
    <w:bookmarkStart w:id="47" w:name="attribution."/>
    <w:p>
      <w:pPr>
        <w:pStyle w:val="Heading4"/>
      </w:pPr>
      <w:r>
        <w:t xml:space="preserve">Attribution.</w:t>
      </w:r>
    </w:p>
    <w:p>
      <w:pPr>
        <w:pStyle w:val="FirstParagraph"/>
      </w:pPr>
      <w:r>
        <w:t xml:space="preserve">The panel is a dictionary mapping each diagnostic</w:t>
      </w:r>
      <w:r>
        <w:t xml:space="preserve"> </w:t>
      </w:r>
      <w:r>
        <w:t xml:space="preserve">canonical 31-mer (and its reverse complement) to a taxon; a read is attributed</w:t>
      </w:r>
      <w:r>
        <w:t xml:space="preserve"> </w:t>
      </w:r>
      <w:r>
        <w:t xml:space="preserve">when it carries at least two diagnostic</w:t>
      </w:r>
      <w:r>
        <w:t xml:space="preserve"> </w:t>
      </w:r>
      <m:oMath>
        <m:r>
          <m:t>k</m:t>
        </m:r>
      </m:oMath>
      <w:r>
        <w:t xml:space="preserve">-mers for a taxon. Diagnostic sets are</w:t>
      </w:r>
      <w:r>
        <w:t xml:space="preserve"> </w:t>
      </w:r>
      <w:r>
        <w:t xml:space="preserve">built by set difference against (i) the other panel taxa and (ii) a</w:t>
      </w:r>
      <w:r>
        <w:t xml:space="preserve"> </w:t>
      </w:r>
      <w:r>
        <w:t xml:space="preserve">body-site-matched background, and are cached as plain text so the index step is</w:t>
      </w:r>
      <w:r>
        <w:t xml:space="preserve"> </w:t>
      </w:r>
      <w:r>
        <w:t xml:space="preserve">fully offline once the panel exists.</w:t>
      </w:r>
    </w:p>
    <w:bookmarkEnd w:id="47"/>
    <w:bookmarkStart w:id="48" w:name="verification."/>
    <w:p>
      <w:pPr>
        <w:pStyle w:val="Heading4"/>
      </w:pPr>
      <w:r>
        <w:t xml:space="preserve">Verification.</w:t>
      </w:r>
    </w:p>
    <w:p>
      <w:pPr>
        <w:pStyle w:val="FirstParagraph"/>
      </w:pPr>
      <w:r>
        <w:t xml:space="preserve">Every module carries an offline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 </w:t>
      </w:r>
      <w:r>
        <w:t xml:space="preserve">that exercises its core logic (reverse-complement/canonicalisation, FASTA</w:t>
      </w:r>
      <w:r>
        <w:t xml:space="preserve"> </w:t>
      </w:r>
      <w:r>
        <w:t xml:space="preserve">parsing,</w:t>
      </w:r>
      <w:r>
        <w:t xml:space="preserve"> </w:t>
      </w:r>
      <m:oMath>
        <m:r>
          <m:t>k</m:t>
        </m:r>
      </m:oMath>
      <w:r>
        <w:t xml:space="preserve">-mer attribution, the ROC/AUC computation, and the</w:t>
      </w:r>
      <w:r>
        <w:t xml:space="preserve"> </w:t>
      </w:r>
      <w:r>
        <w:t xml:space="preserve">sensitivity/specificity detector) without touching the network, so correctness</w:t>
      </w:r>
      <w:r>
        <w:t xml:space="preserve"> </w:t>
      </w:r>
      <w:r>
        <w:t xml:space="preserve">can be checked with no data present.</w:t>
      </w:r>
    </w:p>
    <w:bookmarkEnd w:id="48"/>
    <w:bookmarkStart w:id="49" w:name="data-access."/>
    <w:p>
      <w:pPr>
        <w:pStyle w:val="Heading4"/>
      </w:pPr>
      <w:r>
        <w:t xml:space="preserve">Data access.</w:t>
      </w:r>
    </w:p>
    <w:p>
      <w:pPr>
        <w:pStyle w:val="FirstParagraph"/>
      </w:pPr>
      <w:r>
        <w:t xml:space="preserve">All inputs are public. The two analysed cohorts are</w:t>
      </w:r>
      <w:r>
        <w:t xml:space="preserve"> </w:t>
      </w:r>
      <w:r>
        <w:t xml:space="preserve">ENA/SRA</w:t>
      </w:r>
      <w:r>
        <w:t xml:space="preserve"> </w:t>
      </w:r>
      <w:r>
        <w:rPr>
          <w:rStyle w:val="VerbatimChar"/>
        </w:rPr>
        <w:t xml:space="preserve">PRJDB18292</w:t>
      </w:r>
      <w:r>
        <w:t xml:space="preserve"> </w:t>
      </w:r>
      <w:r>
        <w:t xml:space="preserve">(topical-ivermectin before/after, facial 16S) and</w:t>
      </w:r>
      <w:r>
        <w:t xml:space="preserve"> </w:t>
      </w:r>
      <w:r>
        <w:rPr>
          <w:rStyle w:val="VerbatimChar"/>
        </w:rPr>
        <w:t xml:space="preserve">PRJNA692647</w:t>
      </w:r>
      <w:r>
        <w:t xml:space="preserve"> </w:t>
      </w:r>
      <w:r>
        <w:t xml:space="preserve">(</w:t>
      </w:r>
      <w:r>
        <w:rPr>
          <w:iCs/>
          <w:i/>
        </w:rPr>
        <w:t xml:space="preserve">Demodex</w:t>
      </w:r>
      <w:r>
        <w:t xml:space="preserve"> </w:t>
      </w:r>
      <w:r>
        <w:t xml:space="preserve">infection vs control, ocular 16S); the audit</w:t>
      </w:r>
      <w:r>
        <w:t xml:space="preserve"> </w:t>
      </w:r>
      <w:r>
        <w:t xml:space="preserve">covered 656 runs across 25 BioProjects. A facial multi-omic cohort with</w:t>
      </w:r>
      <w:r>
        <w:t xml:space="preserve"> </w:t>
      </w:r>
      <w:r>
        <w:t xml:space="preserve">cyanoacrylate follicle sampling,</w:t>
      </w:r>
      <w:r>
        <w:t xml:space="preserve"> </w:t>
      </w:r>
      <w:r>
        <w:rPr>
          <w:rStyle w:val="VerbatimChar"/>
        </w:rPr>
        <w:t xml:space="preserve">PRJEB82826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96</m:t>
        </m:r>
      </m:oMath>
      <w:r>
        <w:t xml:space="preserve">, amplicon), is</w:t>
      </w:r>
      <w:r>
        <w:t xml:space="preserve"> </w:t>
      </w:r>
      <w:r>
        <w:t xml:space="preserve">catalogued but its public records carry no infestation/clinical labels, so it is</w:t>
      </w:r>
      <w:r>
        <w:t xml:space="preserve"> </w:t>
      </w:r>
      <w:r>
        <w:t xml:space="preserve">not used here.</w:t>
      </w:r>
      <w:r>
        <w:t xml:space="preserve"> </w:t>
      </w:r>
      <w:r>
        <w:rPr>
          <w:rStyle w:val="VerbatimChar"/>
        </w:rPr>
        <w:t xml:space="preserve">PRJNA692647</w:t>
      </w:r>
      <w:r>
        <w:t xml:space="preserve"> </w:t>
      </w:r>
      <w:r>
        <w:t xml:space="preserve">was additionally reprocessed end-to-end with</w:t>
      </w:r>
      <w:r>
        <w:t xml:space="preserve"> </w:t>
      </w:r>
      <w:r>
        <w:t xml:space="preserve">DADA2 (Sec. </w:t>
      </w:r>
      <w:hyperlink w:anchor="sec:dada2">
        <w:r>
          <w:rPr>
            <w:rStyle w:val="Hyperlink"/>
          </w:rPr>
          <w:t xml:space="preserve">2.5</w:t>
        </w:r>
      </w:hyperlink>
      <w:r>
        <w:t xml:space="preserve">); the resulting ASV table, taxonomy, sequences, and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-mer/ASV bridge are released alongside the</w:t>
      </w:r>
      <w:r>
        <w:t xml:space="preserve"> </w:t>
      </w:r>
      <m:oMath>
        <m:r>
          <m:t>k</m:t>
        </m:r>
      </m:oMath>
      <w:r>
        <w:t xml:space="preserve">-mer outputs. The pipeline</w:t>
      </w:r>
      <w:r>
        <w:t xml:space="preserve"> </w:t>
      </w:r>
      <w:r>
        <w:t xml:space="preserve">(audit, panel construction, panel validation, index,</w:t>
      </w:r>
      <w:r>
        <w:t xml:space="preserve"> </w:t>
      </w:r>
      <w:r>
        <w:t xml:space="preserve">analyses, and this figure), the diagnostic</w:t>
      </w:r>
      <w:r>
        <w:t xml:space="preserve"> </w:t>
      </w:r>
      <m:oMath>
        <m:r>
          <m:t>k</m:t>
        </m:r>
      </m:oMath>
      <w:r>
        <w:t xml:space="preserve">-mer panels, every intermediate</w:t>
      </w:r>
      <w:r>
        <w:t xml:space="preserve"> </w:t>
      </w:r>
      <w:r>
        <w:t xml:space="preserve">table, and the exact accession lists are released so that all reported numbers</w:t>
      </w:r>
      <w:r>
        <w:t xml:space="preserve"> </w:t>
      </w:r>
      <w:r>
        <w:t xml:space="preserve">and Fig. </w:t>
      </w:r>
      <w:hyperlink w:anchor="fig:ro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regenerate from a clean checkout in documented run order.</w:t>
      </w:r>
    </w:p>
    <w:bookmarkEnd w:id="49"/>
    <w:bookmarkEnd w:id="50"/>
    <w:bookmarkStart w:id="51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thank Dr Matheen Mohamed (FACD, MPH; East Malvern Dermatology, Melbourne, and</w:t>
      </w:r>
      <w:r>
        <w:t xml:space="preserve"> </w:t>
      </w:r>
      <w:r>
        <w:t xml:space="preserve">St Vincent’s Hospital, Melbourne) for the clinical observations on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and</w:t>
      </w:r>
      <w:r>
        <w:t xml:space="preserve"> </w:t>
      </w:r>
      <w:r>
        <w:t xml:space="preserve">antiparasitic therapy in rosacea that motivated this reanalysis. No external</w:t>
      </w:r>
      <w:r>
        <w:t xml:space="preserve"> </w:t>
      </w:r>
      <w:r>
        <w:t xml:space="preserve">funding was received for this work, and the author declares no competing</w:t>
      </w:r>
      <w:r>
        <w:t xml:space="preserve"> </w:t>
      </w:r>
      <w:r>
        <w:t xml:space="preserve">interests.</w:t>
      </w:r>
    </w:p>
    <w:bookmarkEnd w:id="51"/>
    <w:bookmarkStart w:id="53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analysed data are public. The two analysed cohorts are ENA/SRA</w:t>
      </w:r>
      <w:r>
        <w:t xml:space="preserve"> </w:t>
      </w:r>
      <w:r>
        <w:rPr>
          <w:rStyle w:val="VerbatimChar"/>
        </w:rPr>
        <w:t xml:space="preserve">PRJDB18292</w:t>
      </w:r>
      <w:r>
        <w:t xml:space="preserve"> </w:t>
      </w:r>
      <w:r>
        <w:t xml:space="preserve">(topical-ivermectin before/after, facial 16S) and</w:t>
      </w:r>
      <w:r>
        <w:t xml:space="preserve"> </w:t>
      </w:r>
      <w:r>
        <w:rPr>
          <w:rStyle w:val="VerbatimChar"/>
        </w:rPr>
        <w:t xml:space="preserve">PRJNA692647</w:t>
      </w:r>
      <w:r>
        <w:t xml:space="preserve"> </w:t>
      </w:r>
      <w:r>
        <w:t xml:space="preserve">(</w:t>
      </w:r>
      <w:r>
        <w:rPr>
          <w:iCs/>
          <w:i/>
        </w:rPr>
        <w:t xml:space="preserve">Demodex</w:t>
      </w:r>
      <w:r>
        <w:t xml:space="preserve"> </w:t>
      </w:r>
      <w:r>
        <w:t xml:space="preserve">infection versus control, ocular 16S); the</w:t>
      </w:r>
      <w:r>
        <w:t xml:space="preserve"> </w:t>
      </w:r>
      <w:r>
        <w:t xml:space="preserve">facial multi-omic cohort</w:t>
      </w:r>
      <w:r>
        <w:t xml:space="preserve"> </w:t>
      </w:r>
      <w:r>
        <w:rPr>
          <w:rStyle w:val="VerbatimChar"/>
        </w:rPr>
        <w:t xml:space="preserve">PRJEB82826</w:t>
      </w:r>
      <w:r>
        <w:t xml:space="preserve"> </w:t>
      </w:r>
      <w:r>
        <w:t xml:space="preserve"> </w:t>
      </w:r>
      <w:r>
        <w:t xml:space="preserve">is catalogued but</w:t>
      </w:r>
      <w:r>
        <w:t xml:space="preserve"> </w:t>
      </w:r>
      <w:r>
        <w:t xml:space="preserve">its public records carry no infestation/clinical labels and so is not analysed</w:t>
      </w:r>
      <w:r>
        <w:t xml:space="preserve"> </w:t>
      </w:r>
      <w:r>
        <w:t xml:space="preserve">here. Taxonomic assignment used the SILVA v138.1 reference</w:t>
      </w:r>
      <w:r>
        <w:t xml:space="preserve"> </w:t>
      </w:r>
      <w:r>
        <w:t xml:space="preserve">. All</w:t>
      </w:r>
      <w:r>
        <w:t xml:space="preserve"> </w:t>
      </w:r>
      <w:r>
        <w:t xml:space="preserve">analysis code, the diagnostic</w:t>
      </w:r>
      <w:r>
        <w:t xml:space="preserve"> </w:t>
      </w:r>
      <m:oMath>
        <m:r>
          <m:t>k</m:t>
        </m:r>
      </m:oMath>
      <w:r>
        <w:t xml:space="preserve">-mer panels, intermediate tables, and the DADA2</w:t>
      </w:r>
      <w:r>
        <w:t xml:space="preserve"> </w:t>
      </w:r>
      <w:r>
        <w:t xml:space="preserve">ASV table, taxonomy, representative sequences, and</w:t>
      </w:r>
      <w:r>
        <w:t xml:space="preserve"> </w:t>
      </w:r>
      <m:oMath>
        <m:r>
          <m:t>k</m:t>
        </m:r>
      </m:oMath>
      <w:r>
        <w:t xml:space="preserve">-mer/ASV bridge outputs are</w:t>
      </w:r>
      <w:r>
        <w:t xml:space="preserve"> </w:t>
      </w:r>
      <w:r>
        <w:t xml:space="preserve">openly available at</w:t>
      </w:r>
      <w:r>
        <w:t xml:space="preserve"> </w:t>
      </w:r>
      <w:hyperlink r:id="rId52">
        <w:r>
          <w:rPr>
            <w:rStyle w:val="Hyperlink"/>
          </w:rPr>
          <w:t xml:space="preserve">https://github.com/JohnnyTeutonic/rosacea-demodex-16S-reanalysis</w:t>
        </w:r>
      </w:hyperlink>
      <w:r>
        <w:t xml:space="preserve"> </w:t>
      </w:r>
      <w:r>
        <w:t xml:space="preserve">and will</w:t>
      </w:r>
      <w:r>
        <w:t xml:space="preserve"> </w:t>
      </w:r>
      <w:r>
        <w:t xml:space="preserve">be archived with a permanent DOI (Zenodo) upon acceptance.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Chang Y-S, Huang Y-C. Role of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mite infestation in</w:t>
      </w:r>
      <w:r>
        <w:t xml:space="preserve"> </w:t>
      </w:r>
      <w:r>
        <w:t xml:space="preserve">rosacea: a systematic review and meta-analysis.</w:t>
      </w:r>
      <w:r>
        <w:t xml:space="preserve"> </w:t>
      </w:r>
      <w:r>
        <w:rPr>
          <w:iCs/>
          <w:i/>
        </w:rPr>
        <w:t xml:space="preserve">J Am Acad Dermatol</w:t>
      </w:r>
      <w:r>
        <w:t xml:space="preserve">.</w:t>
      </w:r>
      <w:r>
        <w:t xml:space="preserve"> </w:t>
      </w:r>
      <w:r>
        <w:t xml:space="preserve">2017;77(3):441–447.</w:t>
      </w:r>
      <w:r>
        <w:t xml:space="preserve"> </w:t>
      </w:r>
      <w:r>
        <w:t xml:space="preserve">Forton FMN. The pathogenic role of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mites in</w:t>
      </w:r>
      <w:r>
        <w:t xml:space="preserve"> </w:t>
      </w:r>
      <w:r>
        <w:t xml:space="preserve">rosacea: a potential therapeutic target already in erythematotelangiectatic</w:t>
      </w:r>
      <w:r>
        <w:t xml:space="preserve"> </w:t>
      </w:r>
      <w:r>
        <w:t xml:space="preserve">rosacea?</w:t>
      </w:r>
      <w:r>
        <w:t xml:space="preserve"> </w:t>
      </w:r>
      <w:r>
        <w:rPr>
          <w:iCs/>
          <w:i/>
        </w:rPr>
        <w:t xml:space="preserve">Dermatol Ther (Heidelb)</w:t>
      </w:r>
      <w:r>
        <w:t xml:space="preserve">. 2020;10(6):1229–1253.</w:t>
      </w:r>
      <w:r>
        <w:t xml:space="preserve"> </w:t>
      </w:r>
      <w:r>
        <w:t xml:space="preserve">Yamasaki K, Di Nardo A, Bardan A, et al. Increased serine</w:t>
      </w:r>
      <w:r>
        <w:t xml:space="preserve"> </w:t>
      </w:r>
      <w:r>
        <w:t xml:space="preserve">protease activity and cathelicidin promotes skin inflammation in rosacea.</w:t>
      </w:r>
      <w:r>
        <w:t xml:space="preserve"> </w:t>
      </w:r>
      <w:r>
        <w:rPr>
          <w:iCs/>
          <w:i/>
        </w:rPr>
        <w:t xml:space="preserve">Nat Med</w:t>
      </w:r>
      <w:r>
        <w:t xml:space="preserve">. 2007;13(8):975–980.</w:t>
      </w:r>
      <w:r>
        <w:t xml:space="preserve"> </w:t>
      </w:r>
      <w:r>
        <w:t xml:space="preserve">Stein Gold L, Kircik L, Fowler J, et al. Efficacy and</w:t>
      </w:r>
      <w:r>
        <w:t xml:space="preserve"> </w:t>
      </w:r>
      <w:r>
        <w:t xml:space="preserve">safety of ivermectin 1% cream in papulopustular rosacea.</w:t>
      </w:r>
      <w:r>
        <w:t xml:space="preserve"> </w:t>
      </w:r>
      <w:r>
        <w:rPr>
          <w:iCs/>
          <w:i/>
        </w:rPr>
        <w:t xml:space="preserve">J Drugs</w:t>
      </w:r>
      <w:r>
        <w:rPr>
          <w:iCs/>
          <w:i/>
        </w:rPr>
        <w:t xml:space="preserve"> </w:t>
      </w:r>
      <w:r>
        <w:rPr>
          <w:iCs/>
          <w:i/>
        </w:rPr>
        <w:t xml:space="preserve">Dermatol</w:t>
      </w:r>
      <w:r>
        <w:t xml:space="preserve">. 2014;13(3):316–323.</w:t>
      </w:r>
      <w:r>
        <w:t xml:space="preserve"> </w:t>
      </w:r>
      <w:r>
        <w:t xml:space="preserve">Taieb A, Ortonne JP, Ruzicka T, et al. Superiority of</w:t>
      </w:r>
      <w:r>
        <w:t xml:space="preserve"> </w:t>
      </w:r>
      <w:r>
        <w:t xml:space="preserve">ivermectin 1% cream over metronidazole 0.75% cream in treating</w:t>
      </w:r>
      <w:r>
        <w:t xml:space="preserve"> </w:t>
      </w:r>
      <w:r>
        <w:t xml:space="preserve">papulopustular rosacea.</w:t>
      </w:r>
      <w:r>
        <w:t xml:space="preserve"> </w:t>
      </w:r>
      <w:r>
        <w:rPr>
          <w:iCs/>
          <w:i/>
        </w:rPr>
        <w:t xml:space="preserve">Br J Dermatol</w:t>
      </w:r>
      <w:r>
        <w:t xml:space="preserve">. 2015;172(4):1103–1110.</w:t>
      </w:r>
      <w:r>
        <w:t xml:space="preserve"> </w:t>
      </w:r>
      <w:r>
        <w:t xml:space="preserve">Nakatsuji T, Cheng JY, Butcher A, et al. Topical</w:t>
      </w:r>
      <w:r>
        <w:t xml:space="preserve"> </w:t>
      </w:r>
      <w:r>
        <w:t xml:space="preserve">ivermectin treatment of rosacea changes the bacterial microbiome of the skin.</w:t>
      </w:r>
      <w:r>
        <w:t xml:space="preserve"> </w:t>
      </w:r>
      <w:r>
        <w:rPr>
          <w:iCs/>
          <w:i/>
        </w:rPr>
        <w:t xml:space="preserve">J Invest Dermatol</w:t>
      </w:r>
      <w:r>
        <w:t xml:space="preserve">. 2025;145(5). doi:10.1016/j.jid.2024.10.592.</w:t>
      </w:r>
      <w:r>
        <w:t xml:space="preserve"> </w:t>
      </w:r>
      <w:r>
        <w:t xml:space="preserve">Olah P, Reuvers N, Radai Z, et al. Microbe–host interaction</w:t>
      </w:r>
      <w:r>
        <w:t xml:space="preserve"> </w:t>
      </w:r>
      <w:r>
        <w:t xml:space="preserve">in rosacea and its modulation through topical ivermectin.</w:t>
      </w:r>
      <w:r>
        <w:t xml:space="preserve"> </w:t>
      </w:r>
      <w:r>
        <w:rPr>
          <w:iCs/>
          <w:i/>
        </w:rPr>
        <w:t xml:space="preserve">J Invest</w:t>
      </w:r>
      <w:r>
        <w:rPr>
          <w:iCs/>
          <w:i/>
        </w:rPr>
        <w:t xml:space="preserve"> </w:t>
      </w:r>
      <w:r>
        <w:rPr>
          <w:iCs/>
          <w:i/>
        </w:rPr>
        <w:t xml:space="preserve">Dermatol</w:t>
      </w:r>
      <w:r>
        <w:t xml:space="preserve">. 2025;145(10):2576–2587.e8.</w:t>
      </w:r>
      <w:r>
        <w:t xml:space="preserve"> </w:t>
      </w:r>
      <w:r>
        <w:t xml:space="preserve">Lacey N, Delaney S, Kavanagh K, Powell FC. Mite-related</w:t>
      </w:r>
      <w:r>
        <w:t xml:space="preserve"> </w:t>
      </w:r>
      <w:r>
        <w:t xml:space="preserve">bacterial antigens stimulate inflammatory cells in rosacea.</w:t>
      </w:r>
      <w:r>
        <w:t xml:space="preserve"> </w:t>
      </w:r>
      <w:r>
        <w:rPr>
          <w:iCs/>
          <w:i/>
        </w:rPr>
        <w:t xml:space="preserve">Br J</w:t>
      </w:r>
      <w:r>
        <w:rPr>
          <w:iCs/>
          <w:i/>
        </w:rPr>
        <w:t xml:space="preserve"> </w:t>
      </w:r>
      <w:r>
        <w:rPr>
          <w:iCs/>
          <w:i/>
        </w:rPr>
        <w:t xml:space="preserve">Dermatol</w:t>
      </w:r>
      <w:r>
        <w:t xml:space="preserve">. 2007;157(3):474–481.</w:t>
      </w:r>
      <w:r>
        <w:t xml:space="preserve"> </w:t>
      </w:r>
      <w:r>
        <w:t xml:space="preserve">Murillo N, Aubert J, Raoult D. Microbiota of</w:t>
      </w:r>
      <w:r>
        <w:t xml:space="preserve"> </w:t>
      </w:r>
      <w:r>
        <w:rPr>
          <w:iCs/>
          <w:i/>
        </w:rPr>
        <w:t xml:space="preserve">Demodex</w:t>
      </w:r>
      <w:r>
        <w:t xml:space="preserve"> </w:t>
      </w:r>
      <w:r>
        <w:t xml:space="preserve">mites from rosacea patients and controls.</w:t>
      </w:r>
      <w:r>
        <w:t xml:space="preserve"> </w:t>
      </w:r>
      <w:r>
        <w:rPr>
          <w:iCs/>
          <w:i/>
        </w:rPr>
        <w:t xml:space="preserve">Microb Pathog</w:t>
      </w:r>
      <w:r>
        <w:t xml:space="preserve">.</w:t>
      </w:r>
      <w:r>
        <w:t xml:space="preserve"> </w:t>
      </w:r>
      <w:r>
        <w:t xml:space="preserve">2014;71–72:37–40.</w:t>
      </w:r>
      <w:r>
        <w:t xml:space="preserve"> </w:t>
      </w:r>
      <w:r>
        <w:t xml:space="preserve">Rainer BM, Thompson KG, Antonescu C, et al.</w:t>
      </w:r>
      <w:r>
        <w:t xml:space="preserve"> </w:t>
      </w:r>
      <w:r>
        <w:t xml:space="preserve">Characterization and analysis of the skin microbiota in rosacea: a</w:t>
      </w:r>
      <w:r>
        <w:t xml:space="preserve"> </w:t>
      </w:r>
      <w:r>
        <w:t xml:space="preserve">case–control study.</w:t>
      </w:r>
      <w:r>
        <w:t xml:space="preserve"> </w:t>
      </w:r>
      <w:r>
        <w:rPr>
          <w:iCs/>
          <w:i/>
        </w:rPr>
        <w:t xml:space="preserve">Am J Clin Dermatol</w:t>
      </w:r>
      <w:r>
        <w:t xml:space="preserve">. 2020;21(1):139–147.</w:t>
      </w:r>
      <w:r>
        <w:t xml:space="preserve"> </w:t>
      </w:r>
      <w:r>
        <w:t xml:space="preserve">Woo YR, Lee SH, Cho SH, Lee JD, Kim HS. Characterization and</w:t>
      </w:r>
      <w:r>
        <w:t xml:space="preserve"> </w:t>
      </w:r>
      <w:r>
        <w:t xml:space="preserve">analysis of the skin microbiota in rosacea: impact of systemic antibiotics.</w:t>
      </w:r>
      <w:r>
        <w:t xml:space="preserve"> </w:t>
      </w:r>
      <w:r>
        <w:rPr>
          <w:iCs/>
          <w:i/>
        </w:rPr>
        <w:t xml:space="preserve">J Clin Med</w:t>
      </w:r>
      <w:r>
        <w:t xml:space="preserve">. 2020;9(1):185.</w:t>
      </w:r>
      <w:r>
        <w:t xml:space="preserve"> </w:t>
      </w:r>
      <w:r>
        <w:t xml:space="preserve">Callahan BJ, McMurdie PJ, Rosen MJ, Han AW, Johnson AJA,</w:t>
      </w:r>
      <w:r>
        <w:t xml:space="preserve"> </w:t>
      </w:r>
      <w:r>
        <w:t xml:space="preserve">Holmes SP. DADA2: high-resolution sample inference from Illumina amplicon</w:t>
      </w:r>
      <w:r>
        <w:t xml:space="preserve"> </w:t>
      </w:r>
      <w:r>
        <w:t xml:space="preserve">data.</w:t>
      </w:r>
      <w:r>
        <w:t xml:space="preserve"> </w:t>
      </w:r>
      <w:r>
        <w:rPr>
          <w:iCs/>
          <w:i/>
        </w:rPr>
        <w:t xml:space="preserve">Nat Methods</w:t>
      </w:r>
      <w:r>
        <w:t xml:space="preserve">. 2016;13(7):581–583.</w:t>
      </w:r>
      <w:r>
        <w:t xml:space="preserve"> </w:t>
      </w:r>
      <w:r>
        <w:t xml:space="preserve">Martin M. Cutadapt removes adapter sequences from</w:t>
      </w:r>
      <w:r>
        <w:t xml:space="preserve"> </w:t>
      </w:r>
      <w:r>
        <w:t xml:space="preserve">high-throughput sequencing reads.</w:t>
      </w:r>
      <w:r>
        <w:t xml:space="preserve"> </w:t>
      </w:r>
      <w:r>
        <w:rPr>
          <w:iCs/>
          <w:i/>
        </w:rPr>
        <w:t xml:space="preserve">EMBnet J</w:t>
      </w:r>
      <w:r>
        <w:t xml:space="preserve">. 2011;17(1):10–12.</w:t>
      </w:r>
      <w:r>
        <w:t xml:space="preserve"> </w:t>
      </w:r>
      <w:r>
        <w:t xml:space="preserve">Quast C, Pruesse E, Yilmaz P, et al. The SILVA ribosomal RNA</w:t>
      </w:r>
      <w:r>
        <w:t xml:space="preserve"> </w:t>
      </w:r>
      <w:r>
        <w:t xml:space="preserve">gene database project: improved data processing and web-based tools.</w:t>
      </w:r>
      <w:r>
        <w:t xml:space="preserve"> </w:t>
      </w:r>
      <w:r>
        <w:rPr>
          <w:iCs/>
          <w:i/>
        </w:rPr>
        <w:t xml:space="preserve">Nucleic Acids Res</w:t>
      </w:r>
      <w:r>
        <w:t xml:space="preserve">. 2013;41(D1):D590–D596.</w:t>
      </w:r>
      <w:r>
        <w:t xml:space="preserve"> </w:t>
      </w:r>
      <w:r>
        <w:t xml:space="preserve">Callahan BJ, McMurdie PJ, Holmes SP. Exact sequence</w:t>
      </w:r>
      <w:r>
        <w:t xml:space="preserve"> </w:t>
      </w:r>
      <w:r>
        <w:t xml:space="preserve">variants should replace operational taxonomic units in marker-gene data</w:t>
      </w:r>
      <w:r>
        <w:t xml:space="preserve"> </w:t>
      </w:r>
      <w:r>
        <w:t xml:space="preserve">analysis.</w:t>
      </w:r>
      <w:r>
        <w:t xml:space="preserve"> </w:t>
      </w:r>
      <w:r>
        <w:rPr>
          <w:iCs/>
          <w:i/>
        </w:rPr>
        <w:t xml:space="preserve">ISME J</w:t>
      </w:r>
      <w:r>
        <w:t xml:space="preserve">. 2017;11(12):2639–2643.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df" /><Relationship Type="http://schemas.openxmlformats.org/officeDocument/2006/relationships/hyperlink" Id="rId52" Target="https://github.com/JohnnyTeutonic/rosacea-demodex-16S-reanalysis" TargetMode="External" /><Relationship Type="http://schemas.openxmlformats.org/officeDocument/2006/relationships/hyperlink" Id="rId20" Target="https://orcid.org/0009-0000-0108-07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github.com/JohnnyTeutonic/rosacea-demodex-16S-reanalysis" TargetMode="External" /><Relationship Type="http://schemas.openxmlformats.org/officeDocument/2006/relationships/hyperlink" Id="rId20" Target="https://orcid.org/0009-0000-0108-07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Closed-reference k-mer cross-mapping fabricates a Snodgrassella alvi rosacea signal that dissolves under amplicon-sequence-variant resolution</dc:title>
  <dc:creator>Jonathan Reich Independent Researcher, Melbourne, Victoria, Australia Corresponding author: jonathanreich100@gmail.com ORCID: 0009-0000-0108-0717</dc:creator>
  <cp:keywords/>
  <dcterms:created xsi:type="dcterms:W3CDTF">2026-06-25T16:05:23Z</dcterms:created>
  <dcterms:modified xsi:type="dcterms:W3CDTF">2026-06-25T16:05:23Z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Demodex mites are strongly associated with rosacea, motivating a shortcut: could the relative abundance of Demodex-associated bacteria in a routine 16S amplicon sample act as a non-invasive proxy for mite burden? We test this on public data and, critically, stress-test our own positive result. We audited the Sequence Read Archive (656 runs, 25 BioProjects; 17 on-topic), assembled a panel of Demodex-associated taxa (Snodgrassella alvi, Bacillus oleronius, Cutibacterium kroppenstedtii, Bartonella quintana), and built a background-subtracted, closed-reference k-mer index. On a paired ivermectin arm (6 subjects) the index did not move (all p \ge 0.25). On an ocular Demodex-versus-control arm (14 versus 17) with a body-site-matched negative control, the composite separated the groups in the predicted direction (ROC-AUC 0.66), apparently carried by Snodgrassella alvi. We then resolved that lead to exact sequences with a DADA2 pipeline and SILVA v138.1 taxonomy. It did not survive: none of 8{,}551 amplicon sequence variants (ASVs) is Snodgrassella, and our own Snodgrassella alvi diagnostic k-mers map only onto commensal Neisseriaceae (92–94\% identity to the Snodgrassella alvi reference)—a conserved-region cross-mapping artefact. The strongest exact-sequence association is a single Neisseria ASV enriched on infected surfaces (AUC 0.70; nominal one-sided p=0.032), which we present as a hypothesis-generating lead. We conclude that closed-reference marker counting is not species-specific on short 16S and can fabricate a genus-level signal that only ASV resolution exposes, and that a surface microbiome cannot grade individual mite burden—direct mite quantification remains the basis for treatment.</vt:lpwstr>
  </property>
  <property fmtid="{D5CDD505-2E9C-101B-9397-08002B2CF9AE}" pid="3" name="date">
    <vt:lpwstr/>
  </property>
</Properties>
</file>