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F275D" w14:textId="77777777" w:rsidR="002B1C3D" w:rsidRPr="002B1C3D" w:rsidRDefault="002B1C3D" w:rsidP="002B1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Cross-sectional normalization (the highest-value direction)</w:t>
      </w:r>
    </w:p>
    <w:p w14:paraId="59F5E87C" w14:textId="77777777" w:rsidR="002B1C3D" w:rsidRPr="002B1C3D" w:rsidRDefault="002B1C3D" w:rsidP="002B1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The single most important fact in the doc is that many strategies share each </w:t>
      </w:r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. That means a large chunk of what looks like "noise" is </w:t>
      </w:r>
      <w:proofErr w:type="gramStart"/>
      <w:r w:rsidRPr="002B1C3D">
        <w:rPr>
          <w:rFonts w:ascii="Times New Roman" w:eastAsia="Times New Roman" w:hAnsi="Times New Roman" w:cs="Times New Roman"/>
          <w:kern w:val="0"/>
          <w14:ligatures w14:val="none"/>
        </w:rPr>
        <w:t>actually a</w:t>
      </w:r>
      <w:proofErr w:type="gramEnd"/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B1C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per-date factor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— a market/regime move that hits every strategy on that day. If you can strip it out, the residual is where the predictable, strategy-specific signal lives.</w:t>
      </w:r>
    </w:p>
    <w:p w14:paraId="49E4C4BF" w14:textId="77777777" w:rsidR="002B1C3D" w:rsidRPr="002B1C3D" w:rsidRDefault="002B1C3D" w:rsidP="002B1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t>Concretely, within each date:</w:t>
      </w:r>
    </w:p>
    <w:p w14:paraId="685CBC36" w14:textId="77777777" w:rsidR="002B1C3D" w:rsidRPr="002B1C3D" w:rsidRDefault="002B1C3D" w:rsidP="002B1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Demean / z-score every feature by date.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Replace </w:t>
      </w:r>
      <w:proofErr w:type="spellStart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RET_k</w:t>
      </w:r>
      <w:proofErr w:type="spellEnd"/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RET_k</w:t>
      </w:r>
      <w:proofErr w:type="spellEnd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</w:t>
      </w:r>
      <w:proofErr w:type="spellStart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</w:t>
      </w:r>
      <w:proofErr w:type="gramStart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proofErr w:type="spellEnd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RET_k</w:t>
      </w:r>
      <w:proofErr w:type="spellEnd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>, or its within-date z-score. Same for signed volume.</w:t>
      </w:r>
    </w:p>
    <w:p w14:paraId="48AD41E0" w14:textId="77777777" w:rsidR="002B1C3D" w:rsidRPr="002B1C3D" w:rsidRDefault="002B1C3D" w:rsidP="002B1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Cross-sectional ranks.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Rank each strategy's momentum, recent return, volume, etc. against its peers </w:t>
      </w:r>
      <w:r w:rsidRPr="002B1C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 the same date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. Tree models love ranks here because they're </w:t>
      </w:r>
      <w:r w:rsidRPr="00C23D96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scale-free and regime-robust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C51B8C" w14:textId="77777777" w:rsidR="002B1C3D" w:rsidRPr="002B1C3D" w:rsidRDefault="002B1C3D" w:rsidP="002B1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Date-level aggregates as context.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Dispersion of returns across strategies that day, the date's mean return, the strategy's percentile — these tell the model </w:t>
      </w:r>
      <w:proofErr w:type="gramStart"/>
      <w:r w:rsidRPr="002B1C3D">
        <w:rPr>
          <w:rFonts w:ascii="Times New Roman" w:eastAsia="Times New Roman" w:hAnsi="Times New Roman" w:cs="Times New Roman"/>
          <w:kern w:val="0"/>
          <w14:ligatures w14:val="none"/>
        </w:rPr>
        <w:t>"how</w:t>
      </w:r>
      <w:proofErr w:type="gramEnd"/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unusual is this strategy relative to today's cross-section."</w:t>
      </w:r>
    </w:p>
    <w:p w14:paraId="59BE9649" w14:textId="77777777" w:rsidR="002B1C3D" w:rsidRPr="002B1C3D" w:rsidRDefault="002B1C3D" w:rsidP="002B1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Crucially, </w:t>
      </w:r>
      <w:r w:rsidRPr="002B1C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not leakage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>: at prediction time the entire test date's panel is available simultaneously, so same-date cross-sectional features are fair game. This is usually worth more than anything you do to a single row in isolation.</w:t>
      </w:r>
    </w:p>
    <w:p w14:paraId="7F9852D8" w14:textId="77777777" w:rsidR="002B1C3D" w:rsidRPr="002B1C3D" w:rsidRDefault="002B1C3D" w:rsidP="002B1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Reversal vs. momentum, separated by horizon</w:t>
      </w:r>
    </w:p>
    <w:p w14:paraId="11AF30FE" w14:textId="77777777" w:rsidR="002B1C3D" w:rsidRPr="002B1C3D" w:rsidRDefault="002B1C3D" w:rsidP="002B1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Short-term reversal is one of the most robust effects in this kind of data — </w:t>
      </w:r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RET_1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(and its cross-sectional rank) often </w:t>
      </w:r>
      <w:r w:rsidRPr="002B1C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negatively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predicts the next return, while longer windows can trend. Don't blend them into one momentum number; give the model both:</w:t>
      </w:r>
    </w:p>
    <w:p w14:paraId="08F731CE" w14:textId="77777777" w:rsidR="002B1C3D" w:rsidRPr="002B1C3D" w:rsidRDefault="002B1C3D" w:rsidP="002B1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Short momentum (sum </w:t>
      </w:r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RET_</w:t>
      </w:r>
      <w:proofErr w:type="gramStart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1..</w:t>
      </w:r>
      <w:proofErr w:type="gramEnd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RET_3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>), medium (</w:t>
      </w:r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RET_</w:t>
      </w:r>
      <w:proofErr w:type="gramStart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1..</w:t>
      </w:r>
      <w:proofErr w:type="gramEnd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RET_5</w:t>
      </w:r>
      <w:proofErr w:type="gramStart"/>
      <w:r w:rsidRPr="002B1C3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</w:t>
      </w:r>
      <w:proofErr w:type="gramEnd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), long </w:t>
      </w:r>
      <w:proofErr w:type="gramStart"/>
      <w:r w:rsidRPr="002B1C3D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</w:t>
      </w:r>
      <w:proofErr w:type="gramEnd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>), and the differences between them (momentum acceleration).</w:t>
      </w:r>
    </w:p>
    <w:p w14:paraId="0E3E61CA" w14:textId="77777777" w:rsidR="002B1C3D" w:rsidRPr="002B1C3D" w:rsidRDefault="002B1C3D" w:rsidP="002B1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t>EWMA of returns with a couple of decay rates — recent days weighted more, which usually beats an equal-weighted sum.</w:t>
      </w:r>
    </w:p>
    <w:p w14:paraId="0A3A2D78" w14:textId="77777777" w:rsidR="002B1C3D" w:rsidRPr="002B1C3D" w:rsidRDefault="002B1C3D" w:rsidP="002B1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The explicit reversal feature: most-recent return standardized by the row's own 20-day vol (a "standardized surprise," </w:t>
      </w:r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RET_1 / </w:t>
      </w:r>
      <w:proofErr w:type="gramStart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std(</w:t>
      </w:r>
      <w:proofErr w:type="gramEnd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RET_</w:t>
      </w:r>
      <w:proofErr w:type="gramStart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1..</w:t>
      </w:r>
      <w:proofErr w:type="gramEnd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20)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>). How extreme the last move was relative to the strategy's normal range tends to carry the reversal signal.</w:t>
      </w:r>
    </w:p>
    <w:p w14:paraId="74EF1913" w14:textId="77777777" w:rsidR="002B1C3D" w:rsidRPr="002B1C3D" w:rsidRDefault="002B1C3D" w:rsidP="002B1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Distribution-shape features of the window</w:t>
      </w:r>
    </w:p>
    <w:p w14:paraId="13A1EEDB" w14:textId="77777777" w:rsidR="002B1C3D" w:rsidRPr="002B1C3D" w:rsidRDefault="002B1C3D" w:rsidP="002B1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Beyond the level, the </w:t>
      </w:r>
      <w:r w:rsidRPr="002B1C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shape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of the 20-day path matters:</w:t>
      </w:r>
    </w:p>
    <w:p w14:paraId="46551243" w14:textId="77777777" w:rsidR="002B1C3D" w:rsidRPr="002B1C3D" w:rsidRDefault="002B1C3D" w:rsidP="002B1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Realized vol, and </w:t>
      </w:r>
      <w:r w:rsidRPr="002B1C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downside vol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specifically (std of negative days only).</w:t>
      </w:r>
    </w:p>
    <w:p w14:paraId="48AA71DA" w14:textId="77777777" w:rsidR="002B1C3D" w:rsidRPr="002B1C3D" w:rsidRDefault="002B1C3D" w:rsidP="002B1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t>Skew and the count/fraction of positive days, longest up/down streak, sign of the last few days.</w:t>
      </w:r>
    </w:p>
    <w:p w14:paraId="4DDE860C" w14:textId="77777777" w:rsidR="002B1C3D" w:rsidRPr="002B1C3D" w:rsidRDefault="002B1C3D" w:rsidP="002B1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t>Max drawdown over the window and current distance from the window's running peak.</w:t>
      </w:r>
    </w:p>
    <w:p w14:paraId="6CC949A2" w14:textId="77777777" w:rsidR="002B1C3D" w:rsidRPr="002B1C3D" w:rsidRDefault="002B1C3D" w:rsidP="002B1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Vol especially is worth interacting with everything else — momentum in a low-vol regime behaves differently from momentum in a high-vol regime.</w:t>
      </w:r>
    </w:p>
    <w:p w14:paraId="011AAC70" w14:textId="77777777" w:rsidR="002B1C3D" w:rsidRPr="002B1C3D" w:rsidRDefault="002B1C3D" w:rsidP="002B1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Volume / order-flow features</w:t>
      </w:r>
    </w:p>
    <w:p w14:paraId="7755FD68" w14:textId="77777777" w:rsidR="002B1C3D" w:rsidRPr="002B1C3D" w:rsidRDefault="002B1C3D" w:rsidP="002B1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Signed volume is the most underused field in setups like this. Returns alone are symmetric noise; volume tells you about </w:t>
      </w:r>
      <w:r w:rsidRPr="002B1C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conviction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E76BE1" w14:textId="77777777" w:rsidR="002B1C3D" w:rsidRPr="002B1C3D" w:rsidRDefault="002B1C3D" w:rsidP="002B1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t>Signed-volume momentum (sum/mean), and its cross-sectional rank.</w:t>
      </w:r>
    </w:p>
    <w:p w14:paraId="212267BD" w14:textId="77777777" w:rsidR="002B1C3D" w:rsidRPr="002B1C3D" w:rsidRDefault="002B1C3D" w:rsidP="002B1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Return–volume interaction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: correlation between </w:t>
      </w:r>
      <w:proofErr w:type="spellStart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RET_k</w:t>
      </w:r>
      <w:proofErr w:type="spellEnd"/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SIGNED_VOLUME_k</w:t>
      </w:r>
      <w:proofErr w:type="spellEnd"/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over the window, or the sum of </w:t>
      </w:r>
      <w:proofErr w:type="spellStart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RET_k</w:t>
      </w:r>
      <w:proofErr w:type="spellEnd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</w:t>
      </w:r>
      <w:proofErr w:type="spellStart"/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SIGNED_VOLUME_k</w:t>
      </w:r>
      <w:proofErr w:type="spellEnd"/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. Price moving </w:t>
      </w:r>
      <w:r w:rsidRPr="002B1C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flow (confirmation) vs. </w:t>
      </w:r>
      <w:r w:rsidRPr="002B1C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against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flow (divergence) often predicts continuation vs. reversal respectively.</w:t>
      </w:r>
    </w:p>
    <w:p w14:paraId="3FF27EB3" w14:textId="77777777" w:rsidR="002B1C3D" w:rsidRPr="002B1C3D" w:rsidRDefault="002B1C3D" w:rsidP="002B1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t>Volume spikes: recent volume magnitude vs. its 20-day norm (z-score). A reversal on a volume spike is a different animal from one on quiet tape.</w:t>
      </w:r>
    </w:p>
    <w:p w14:paraId="54F365FA" w14:textId="77777777" w:rsidR="002B1C3D" w:rsidRPr="002B1C3D" w:rsidRDefault="002B1C3D" w:rsidP="002B1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Group and strategy structure</w:t>
      </w:r>
    </w:p>
    <w:p w14:paraId="189C1691" w14:textId="77777777" w:rsidR="002B1C3D" w:rsidRPr="002B1C3D" w:rsidRDefault="002B1C3D" w:rsidP="002B1C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Treat </w:t>
      </w:r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as a categorical </w:t>
      </w:r>
      <w:proofErr w:type="gramStart"/>
      <w:r w:rsidRPr="002B1C3D">
        <w:rPr>
          <w:rFonts w:ascii="Times New Roman" w:eastAsia="Times New Roman" w:hAnsi="Times New Roman" w:cs="Times New Roman"/>
          <w:kern w:val="0"/>
          <w14:ligatures w14:val="none"/>
        </w:rPr>
        <w:t>and also</w:t>
      </w:r>
      <w:proofErr w:type="gramEnd"/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build </w:t>
      </w:r>
      <w:r w:rsidRPr="002B1C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within-GROUP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cross-sectional features (demean/rank inside the family, not just the whole panel) — the four families likely have different return dynamics, which the doc hints at.</w:t>
      </w:r>
    </w:p>
    <w:p w14:paraId="371A7DFC" w14:textId="77777777" w:rsidR="002B1C3D" w:rsidRPr="002B1C3D" w:rsidRDefault="002B1C3D" w:rsidP="002B1C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Per-strategy base rate / tendencies via </w:t>
      </w:r>
      <w:r w:rsidRPr="002B1C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target encoding on </w:t>
      </w:r>
      <w:r w:rsidRPr="002B1C3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ALLOCATION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— but compute it </w:t>
      </w:r>
      <w:r w:rsidRPr="002B1C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inside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each CV fold (or with out-of-fold encoding), or you'll leak. With 278 strategies and a near-50% base rate, expect this to be weak but occasionally informative.</w:t>
      </w:r>
    </w:p>
    <w:p w14:paraId="0E600710" w14:textId="77777777" w:rsidR="002B1C3D" w:rsidRPr="002B1C3D" w:rsidRDefault="002B1C3D" w:rsidP="002B1C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Interact </w:t>
      </w:r>
      <w:r w:rsidRPr="002B1C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MEDIAN_DAILY_TURNOVER</w:t>
      </w:r>
      <w:r w:rsidRPr="002B1C3D">
        <w:rPr>
          <w:rFonts w:ascii="Times New Roman" w:eastAsia="Times New Roman" w:hAnsi="Times New Roman" w:cs="Times New Roman"/>
          <w:kern w:val="0"/>
          <w14:ligatures w14:val="none"/>
        </w:rPr>
        <w:t xml:space="preserve"> with vol and volume features — it's a static liquidity/capacity proxy and may modulate how much the flow signal means.</w:t>
      </w:r>
    </w:p>
    <w:p w14:paraId="368CE9C9" w14:textId="77777777" w:rsidR="002B1C3D" w:rsidRDefault="002B1C3D"/>
    <w:sectPr w:rsidR="002B1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C772F"/>
    <w:multiLevelType w:val="multilevel"/>
    <w:tmpl w:val="0AC2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73001A"/>
    <w:multiLevelType w:val="multilevel"/>
    <w:tmpl w:val="15E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16017A"/>
    <w:multiLevelType w:val="multilevel"/>
    <w:tmpl w:val="9B9E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44571"/>
    <w:multiLevelType w:val="multilevel"/>
    <w:tmpl w:val="8E12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E34BDE"/>
    <w:multiLevelType w:val="multilevel"/>
    <w:tmpl w:val="A7C8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019147">
    <w:abstractNumId w:val="1"/>
  </w:num>
  <w:num w:numId="2" w16cid:durableId="1330059888">
    <w:abstractNumId w:val="2"/>
  </w:num>
  <w:num w:numId="3" w16cid:durableId="474378424">
    <w:abstractNumId w:val="4"/>
  </w:num>
  <w:num w:numId="4" w16cid:durableId="1498812899">
    <w:abstractNumId w:val="0"/>
  </w:num>
  <w:num w:numId="5" w16cid:durableId="531918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3D"/>
    <w:rsid w:val="0000184A"/>
    <w:rsid w:val="002B1C3D"/>
    <w:rsid w:val="00BE26B8"/>
    <w:rsid w:val="00C2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0CE10"/>
  <w15:chartTrackingRefBased/>
  <w15:docId w15:val="{0DC11EB1-8D97-D14C-9879-E0CFC02EB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1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C3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B1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1C3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B1C3D"/>
    <w:rPr>
      <w:b/>
      <w:bCs/>
    </w:rPr>
  </w:style>
  <w:style w:type="character" w:styleId="Emphasis">
    <w:name w:val="Emphasis"/>
    <w:basedOn w:val="DefaultParagraphFont"/>
    <w:uiPriority w:val="20"/>
    <w:qFormat/>
    <w:rsid w:val="002B1C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568</Words>
  <Characters>3229</Characters>
  <Application>Microsoft Office Word</Application>
  <DocSecurity>0</DocSecurity>
  <Lines>55</Lines>
  <Paragraphs>31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HKCareers Limited</dc:creator>
  <cp:keywords/>
  <dc:description/>
  <cp:lastModifiedBy>Yuen Lok Tung</cp:lastModifiedBy>
  <cp:revision>2</cp:revision>
  <dcterms:created xsi:type="dcterms:W3CDTF">2026-06-12T03:09:00Z</dcterms:created>
  <dcterms:modified xsi:type="dcterms:W3CDTF">2026-06-12T08:16:00Z</dcterms:modified>
</cp:coreProperties>
</file>