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8"/>
        </w:rPr>
        <w:t>[Company Name]</w:t>
      </w:r>
    </w:p>
    <w:p>
      <w:pPr>
        <w:jc w:val="right"/>
      </w:pPr>
      <w:r>
        <w:rPr>
          <w:color w:val="505050"/>
          <w:sz w:val="20"/>
        </w:rPr>
        <w:t>Version: 0.1  |  Date: Feb 18, 2026</w:t>
      </w:r>
    </w:p>
    <w:p>
      <w:r>
        <w:rPr>
          <w:color w:val="505050"/>
          <w:sz w:val="24"/>
        </w:rPr>
        <w:t>Services for Small-Scale (SS) Non-Intrusive Inspection (NII) Mobile X-ray Inspection Vans</w:t>
      </w:r>
    </w:p>
    <w:p/>
    <w:p>
      <w:pPr>
        <w:pStyle w:val="Heading2"/>
      </w:pPr>
      <w:r>
        <w:t>Summary</w:t>
      </w:r>
    </w:p>
    <w:p>
      <w:r>
        <w:t>[Company Name] provides simulation-driven lifecycle services for SS NII mobile X-ray inspection vans, enabling safe, compliant, and high-availability operations for checkpoints, ports, and other screening environments. We combine field service capability (commissioning, preventive maintenance, break/fix) with operator and maintainer simulation/training content to reduce downtime and improve inspection consistency.</w:t>
      </w:r>
    </w:p>
    <w:p>
      <w:pPr>
        <w:pStyle w:val="Heading2"/>
      </w:pPr>
      <w:r>
        <w:t>What we support</w:t>
      </w:r>
    </w:p>
    <w:p>
      <w:pPr>
        <w:pStyle w:val="ListBullet"/>
      </w:pPr>
      <w:r>
        <w:t>Mobile X-ray inspection vans (vehicle-mounted scanning systems) used for non-intrusive inspection (NII).</w:t>
      </w:r>
    </w:p>
    <w:p>
      <w:pPr>
        <w:pStyle w:val="ListBullet"/>
      </w:pPr>
      <w:r>
        <w:t>Associated subsystems: X-ray generator, detector array, imaging workstation, power/UPS, safety interlocks, warning systems, and radiation monitoring instrumentation.</w:t>
      </w:r>
    </w:p>
    <w:p>
      <w:pPr>
        <w:pStyle w:val="ListBullet"/>
      </w:pPr>
      <w:r>
        <w:t>Operational readiness: site setup, procedures, training, QA, and documentation.</w:t>
      </w:r>
    </w:p>
    <w:p>
      <w:pPr>
        <w:pStyle w:val="Heading2"/>
      </w:pPr>
      <w:r>
        <w:t>Core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691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Typical deliverables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Site survey &amp; readiness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Site walkdown, power and space checks, controlled-area layout, network/connectivity, safety signage plan.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Mobilization &amp; commissioning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Install verification, functional tests, image quality checks, baseline radiation surveys, acceptance support.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Simulation &amp; training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Operator simulation scenarios, refresher training, competency checks, and train-the-trainer options.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Preventive maintenance (PM)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Scheduled inspections, calibration coordination, software/firmware health checks, documentation updates.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Break/fix &amp; field repair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Remote triage, onsite dispatch, parts replacement, post-repair testing, incident documentation.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Radiation safety program support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ALARA program artifacts, training records, audits, and regulator-facing documentation assistance.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Spares &amp; asset management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Asset register, parts inventory, recommended on-site spares, lifecycle and obsolescence planning.</w:t>
            </w:r>
          </w:p>
        </w:tc>
      </w:tr>
    </w:tbl>
    <w:p/>
    <w:p>
      <w:pPr>
        <w:pStyle w:val="Heading2"/>
      </w:pPr>
      <w:r>
        <w:t>Why [Company Name]</w:t>
      </w:r>
    </w:p>
    <w:p>
      <w:pPr>
        <w:pStyle w:val="ListBullet"/>
      </w:pPr>
      <w:r>
        <w:t>Vendor-agnostic procedures that can be tailored to common SS NII van architectures.</w:t>
      </w:r>
    </w:p>
    <w:p>
      <w:pPr>
        <w:pStyle w:val="ListBullet"/>
      </w:pPr>
      <w:r>
        <w:t>Safety-first field practices aligned to radiation control principles (ALARA) and local regulatory requirements.</w:t>
      </w:r>
    </w:p>
    <w:p>
      <w:pPr>
        <w:pStyle w:val="ListBullet"/>
      </w:pPr>
      <w:r>
        <w:t>Standardized checklists, logs, and acceptance records designed for auditability.</w:t>
      </w:r>
    </w:p>
    <w:p>
      <w:pPr>
        <w:pStyle w:val="ListBullet"/>
      </w:pPr>
      <w:r>
        <w:t>SLA-based support options with defined response targets and escalation paths.</w:t>
      </w:r>
    </w:p>
    <w:p>
      <w:pPr>
        <w:pStyle w:val="Heading2"/>
      </w:pPr>
      <w:r>
        <w:t>Engagement model</w:t>
      </w:r>
    </w:p>
    <w:p>
      <w:pPr>
        <w:pStyle w:val="ListNumber"/>
      </w:pPr>
      <w:r>
        <w:t>Phase 1: Site survey + deployment plan</w:t>
      </w:r>
    </w:p>
    <w:p>
      <w:pPr>
        <w:pStyle w:val="ListNumber"/>
      </w:pPr>
      <w:r>
        <w:t>Phase 2: Commissioning + baseline acceptance testing</w:t>
      </w:r>
    </w:p>
    <w:p>
      <w:pPr>
        <w:pStyle w:val="ListNumber"/>
      </w:pPr>
      <w:r>
        <w:t>Phase 3: Operational support (SLA tier) + recurring PM + simulation-based training refreshers</w:t>
      </w:r>
    </w:p>
    <w:p>
      <w:pPr>
        <w:pStyle w:val="ListNumber"/>
      </w:pPr>
      <w:r>
        <w:t>Phase 4: Quarterly performance review + continuous improvement backlog</w:t>
      </w:r>
    </w:p>
    <w:p>
      <w:pPr>
        <w:pStyle w:val="Heading2"/>
      </w:pPr>
      <w:r>
        <w:t>Key contacts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01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16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Phone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20"/>
              </w:rPr>
              <w:t>Account Executive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[Name]</w:t>
            </w:r>
          </w:p>
        </w:tc>
        <w:tc>
          <w:tcPr>
            <w:tcW w:type="dxa" w:w="3168"/>
            <w:vAlign w:val="top"/>
          </w:tcPr>
          <w:p>
            <w:r>
              <w:rPr>
                <w:sz w:val="20"/>
              </w:rPr>
              <w:t>[email@domain]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[+00 000 000 000]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20"/>
              </w:rPr>
              <w:t>Service Delivery Manager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[Name]</w:t>
            </w:r>
          </w:p>
        </w:tc>
        <w:tc>
          <w:tcPr>
            <w:tcW w:type="dxa" w:w="3168"/>
            <w:vAlign w:val="top"/>
          </w:tcPr>
          <w:p>
            <w:r>
              <w:rPr>
                <w:sz w:val="20"/>
              </w:rPr>
              <w:t>[email@domain]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[+00 000 000 000]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20"/>
              </w:rPr>
              <w:t>24/7 Support (if under SLA)</w:t>
            </w:r>
          </w:p>
        </w:tc>
        <w:tc>
          <w:tcPr>
            <w:tcW w:type="dxa" w:w="2016"/>
            <w:vAlign w:val="top"/>
          </w:tcPr>
          <w:p>
            <w:r>
              <w:rPr>
                <w:sz w:val="20"/>
              </w:rPr>
              <w:t>[NOC / Hotline]</w:t>
            </w:r>
          </w:p>
        </w:tc>
        <w:tc>
          <w:tcPr>
            <w:tcW w:type="dxa" w:w="3168"/>
            <w:vAlign w:val="top"/>
          </w:tcPr>
          <w:p>
            <w:r>
              <w:rPr>
                <w:sz w:val="20"/>
              </w:rPr>
              <w:t>[support@domain]</w:t>
            </w:r>
          </w:p>
        </w:tc>
        <w:tc>
          <w:tcPr>
            <w:tcW w:type="dxa" w:w="2304"/>
            <w:vAlign w:val="top"/>
          </w:tcPr>
          <w:p>
            <w:r>
              <w:rPr>
                <w:sz w:val="20"/>
              </w:rPr>
              <w:t>[+00 000 000 000]</w:t>
            </w:r>
          </w:p>
        </w:tc>
      </w:tr>
    </w:tbl>
    <w:p/>
    <w:p>
      <w:r>
        <w:rPr>
          <w:b/>
        </w:rPr>
        <w:t xml:space="preserve">Notes: </w:t>
      </w:r>
      <w:r>
        <w:t>This one-pager is intentionally generic. Replace bracketed fields and align the scope to your specific van OEM/model and local regulatory environment.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EDDB69EA2DAD41BB23C77A6D511F22" ma:contentTypeVersion="10" ma:contentTypeDescription="Create a new document." ma:contentTypeScope="" ma:versionID="8b560be23b359af8cc84fa3e3590c86f">
  <xsd:schema xmlns:xsd="http://www.w3.org/2001/XMLSchema" xmlns:xs="http://www.w3.org/2001/XMLSchema" xmlns:p="http://schemas.microsoft.com/office/2006/metadata/properties" xmlns:ns2="0218e173-100b-4d0b-8754-105f4c8a5ae9" targetNamespace="http://schemas.microsoft.com/office/2006/metadata/properties" ma:root="true" ma:fieldsID="803ed7469266dc26cb84428d15612e6f" ns2:_="">
    <xsd:import namespace="0218e173-100b-4d0b-8754-105f4c8a5a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8e173-100b-4d0b-8754-105f4c8a5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9d40501-dd33-4069-8788-55aa03317d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18e173-100b-4d0b-8754-105f4c8a5a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DA00D8-9E3F-4792-AF11-44D978D770D3}"/>
</file>

<file path=customXml/itemProps3.xml><?xml version="1.0" encoding="utf-8"?>
<ds:datastoreItem xmlns:ds="http://schemas.openxmlformats.org/officeDocument/2006/customXml" ds:itemID="{48EC1875-77FE-4BA5-9F99-A03F2E44646B}"/>
</file>

<file path=customXml/itemProps4.xml><?xml version="1.0" encoding="utf-8"?>
<ds:datastoreItem xmlns:ds="http://schemas.openxmlformats.org/officeDocument/2006/customXml" ds:itemID="{C697F98A-BD07-45C4-B403-BB67108D3E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0x010100E6EDDB69EA2DAD41BB23C77A6D511F22</vt:lpwstr>
  </property>
</Properties>
</file>